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F44C" w14:textId="2B8CCB76" w:rsidR="00650EDE" w:rsidRPr="0011694A" w:rsidRDefault="00650EDE" w:rsidP="00650EDE">
      <w:pPr>
        <w:jc w:val="center"/>
        <w:rPr>
          <w:b/>
          <w:sz w:val="28"/>
        </w:rPr>
      </w:pPr>
      <w:r w:rsidRPr="0011694A">
        <w:rPr>
          <w:b/>
          <w:sz w:val="28"/>
        </w:rPr>
        <w:t xml:space="preserve">Priebežná správa z fungovania RCPU </w:t>
      </w:r>
      <w:r w:rsidR="00D70ECD" w:rsidRPr="0011694A">
        <w:rPr>
          <w:b/>
          <w:sz w:val="28"/>
        </w:rPr>
        <w:t xml:space="preserve">pre okres </w:t>
      </w:r>
      <w:r w:rsidR="00DA20D5" w:rsidRPr="0011694A">
        <w:rPr>
          <w:b/>
          <w:sz w:val="28"/>
        </w:rPr>
        <w:t>Bardejov</w:t>
      </w:r>
      <w:r w:rsidR="00D70ECD" w:rsidRPr="0011694A">
        <w:rPr>
          <w:b/>
          <w:sz w:val="28"/>
        </w:rPr>
        <w:t xml:space="preserve"> </w:t>
      </w:r>
      <w:r w:rsidRPr="0011694A">
        <w:rPr>
          <w:b/>
          <w:sz w:val="28"/>
        </w:rPr>
        <w:t>v školskom roku 2023/2024</w:t>
      </w:r>
    </w:p>
    <w:p w14:paraId="729BB743" w14:textId="77777777" w:rsidR="00650EDE" w:rsidRPr="0011694A" w:rsidRDefault="00650EDE"/>
    <w:p w14:paraId="5AD27342" w14:textId="77777777" w:rsidR="00B87CDC" w:rsidRPr="0011694A" w:rsidRDefault="00B87CDC" w:rsidP="00B87CDC">
      <w:pPr>
        <w:rPr>
          <w:b/>
          <w:sz w:val="24"/>
        </w:rPr>
      </w:pPr>
      <w:r w:rsidRPr="0011694A">
        <w:rPr>
          <w:b/>
          <w:sz w:val="24"/>
        </w:rPr>
        <w:t>Základné údaje RCPU</w:t>
      </w:r>
    </w:p>
    <w:p w14:paraId="569C96CC" w14:textId="7FD9C5C0" w:rsidR="003D491B" w:rsidRPr="0011694A" w:rsidRDefault="00650EDE">
      <w:r w:rsidRPr="0011694A">
        <w:t>Regionálne centrum podpory učiteľov pre okres:</w:t>
      </w:r>
      <w:r w:rsidR="00DA20D5" w:rsidRPr="0011694A">
        <w:t xml:space="preserve"> </w:t>
      </w:r>
      <w:r w:rsidR="00DA20D5" w:rsidRPr="0011694A">
        <w:rPr>
          <w:b/>
          <w:bCs/>
          <w:i/>
          <w:iCs/>
        </w:rPr>
        <w:t>Bardejov</w:t>
      </w:r>
    </w:p>
    <w:p w14:paraId="2797A2EA" w14:textId="4B035473" w:rsidR="0011694A" w:rsidRPr="0011694A" w:rsidRDefault="00B87CDC" w:rsidP="0011694A">
      <w:pPr>
        <w:rPr>
          <w:b/>
          <w:bCs/>
          <w:i/>
          <w:iCs/>
        </w:rPr>
      </w:pPr>
      <w:r w:rsidRPr="0011694A">
        <w:t>Zriaďovateľ RCPU:</w:t>
      </w:r>
      <w:r w:rsidR="0011694A" w:rsidRPr="0011694A">
        <w:t xml:space="preserve"> </w:t>
      </w:r>
      <w:r w:rsidR="0011694A" w:rsidRPr="0011694A">
        <w:rPr>
          <w:b/>
          <w:bCs/>
          <w:i/>
          <w:iCs/>
        </w:rPr>
        <w:t>Prešovská univerzita v</w:t>
      </w:r>
      <w:r w:rsidR="0011694A" w:rsidRPr="0011694A">
        <w:rPr>
          <w:b/>
          <w:bCs/>
          <w:i/>
          <w:iCs/>
        </w:rPr>
        <w:t> </w:t>
      </w:r>
      <w:r w:rsidR="0011694A" w:rsidRPr="0011694A">
        <w:rPr>
          <w:b/>
          <w:bCs/>
          <w:i/>
          <w:iCs/>
        </w:rPr>
        <w:t>Prešove</w:t>
      </w:r>
      <w:r w:rsidR="0011694A" w:rsidRPr="0011694A">
        <w:rPr>
          <w:b/>
          <w:bCs/>
          <w:i/>
          <w:iCs/>
        </w:rPr>
        <w:t xml:space="preserve">, </w:t>
      </w:r>
      <w:r w:rsidR="0011694A" w:rsidRPr="0011694A">
        <w:rPr>
          <w:b/>
          <w:bCs/>
          <w:i/>
          <w:iCs/>
        </w:rPr>
        <w:t>17. novembra 3724/15, 080 01 Prešov</w:t>
      </w:r>
    </w:p>
    <w:p w14:paraId="73B967BA" w14:textId="3FC3E099" w:rsidR="00650EDE" w:rsidRPr="0011694A" w:rsidRDefault="00650EDE">
      <w:pPr>
        <w:rPr>
          <w:b/>
          <w:bCs/>
          <w:i/>
          <w:iCs/>
        </w:rPr>
      </w:pPr>
      <w:r w:rsidRPr="0011694A">
        <w:t>Dátum vzniku RCPU:</w:t>
      </w:r>
      <w:r w:rsidR="0011694A" w:rsidRPr="0011694A">
        <w:t xml:space="preserve"> </w:t>
      </w:r>
      <w:r w:rsidR="0011694A" w:rsidRPr="0011694A">
        <w:rPr>
          <w:b/>
          <w:bCs/>
          <w:i/>
          <w:iCs/>
        </w:rPr>
        <w:t>01.09.2023</w:t>
      </w:r>
    </w:p>
    <w:p w14:paraId="2ACD4C59" w14:textId="5244A693" w:rsidR="00650EDE" w:rsidRPr="0011694A" w:rsidRDefault="00650EDE">
      <w:r w:rsidRPr="0011694A">
        <w:t>Počet mentorských miest podľa zmluvy:</w:t>
      </w:r>
      <w:r w:rsidR="00DA20D5" w:rsidRPr="0011694A">
        <w:t xml:space="preserve"> </w:t>
      </w:r>
      <w:r w:rsidR="00DA20D5" w:rsidRPr="0011694A">
        <w:rPr>
          <w:b/>
          <w:bCs/>
        </w:rPr>
        <w:t>9</w:t>
      </w:r>
    </w:p>
    <w:p w14:paraId="20F6BCE3" w14:textId="10789273" w:rsidR="00650EDE" w:rsidRPr="0011694A" w:rsidRDefault="00650EDE">
      <w:r w:rsidRPr="0011694A">
        <w:t>Počet obsadených mentorských miest:</w:t>
      </w:r>
      <w:r w:rsidR="0011694A" w:rsidRPr="0011694A">
        <w:t xml:space="preserve"> </w:t>
      </w:r>
      <w:r w:rsidR="0011694A" w:rsidRPr="0011694A">
        <w:rPr>
          <w:b/>
          <w:bCs/>
          <w:i/>
          <w:iCs/>
        </w:rPr>
        <w:t>6</w:t>
      </w:r>
    </w:p>
    <w:p w14:paraId="34B9200A" w14:textId="35EEC443" w:rsidR="00B87CDC" w:rsidRPr="0011694A" w:rsidRDefault="00B87CDC">
      <w:r w:rsidRPr="0011694A">
        <w:t>Riaditeľ/ka RCPU:</w:t>
      </w:r>
      <w:r w:rsidR="0011694A" w:rsidRPr="0011694A">
        <w:t xml:space="preserve"> </w:t>
      </w:r>
      <w:r w:rsidR="0011694A" w:rsidRPr="0011694A">
        <w:rPr>
          <w:b/>
          <w:bCs/>
          <w:i/>
          <w:iCs/>
        </w:rPr>
        <w:t>Mgr. Peter Tej</w:t>
      </w:r>
    </w:p>
    <w:p w14:paraId="3D0EF5BA" w14:textId="3B0A9479" w:rsidR="00B87CDC" w:rsidRPr="0011694A" w:rsidRDefault="00B87CDC">
      <w:r w:rsidRPr="0011694A">
        <w:t>Mail na riaditeľa RCPU:</w:t>
      </w:r>
      <w:r w:rsidR="0011694A" w:rsidRPr="0011694A">
        <w:t xml:space="preserve"> </w:t>
      </w:r>
      <w:r w:rsidR="0011694A" w:rsidRPr="0011694A">
        <w:rPr>
          <w:b/>
          <w:bCs/>
          <w:i/>
          <w:iCs/>
        </w:rPr>
        <w:t>peter.tej@unipo.sk</w:t>
      </w:r>
    </w:p>
    <w:p w14:paraId="01F5AF19" w14:textId="16D5E689" w:rsidR="00B87CDC" w:rsidRPr="0011694A" w:rsidRDefault="00B87CDC">
      <w:r w:rsidRPr="0011694A">
        <w:t>Telefón na riaditeľa RCPU:</w:t>
      </w:r>
      <w:r w:rsidR="0011694A" w:rsidRPr="0011694A">
        <w:t xml:space="preserve"> </w:t>
      </w:r>
      <w:r w:rsidR="0011694A" w:rsidRPr="0011694A">
        <w:rPr>
          <w:b/>
          <w:bCs/>
          <w:i/>
          <w:iCs/>
        </w:rPr>
        <w:t>+421 915 917 042</w:t>
      </w:r>
    </w:p>
    <w:p w14:paraId="494B1358" w14:textId="77777777" w:rsidR="00B87CDC" w:rsidRPr="0011694A" w:rsidRDefault="00B87CDC"/>
    <w:p w14:paraId="6031F8D3" w14:textId="77777777" w:rsidR="00B87CDC" w:rsidRPr="0011694A" w:rsidRDefault="00B87CDC">
      <w:pPr>
        <w:rPr>
          <w:b/>
          <w:sz w:val="24"/>
        </w:rPr>
      </w:pPr>
      <w:r w:rsidRPr="0011694A">
        <w:rPr>
          <w:b/>
          <w:sz w:val="24"/>
        </w:rPr>
        <w:t>Vzdelávanie mentorov RCPU</w:t>
      </w:r>
    </w:p>
    <w:p w14:paraId="093C29DA" w14:textId="77777777" w:rsidR="00B87CDC" w:rsidRPr="00177694" w:rsidRDefault="00B87CDC">
      <w:pPr>
        <w:rPr>
          <w:b/>
          <w:bCs/>
          <w:i/>
        </w:rPr>
      </w:pPr>
      <w:r w:rsidRPr="00177694">
        <w:rPr>
          <w:b/>
          <w:bCs/>
          <w:i/>
        </w:rPr>
        <w:t>Ako hodnotia dobrí učitelia</w:t>
      </w:r>
    </w:p>
    <w:p w14:paraId="641E434B" w14:textId="77777777" w:rsidR="00B87CDC" w:rsidRPr="0011694A" w:rsidRDefault="00B87CDC" w:rsidP="00805B9C">
      <w:pPr>
        <w:jc w:val="both"/>
        <w:rPr>
          <w:i/>
        </w:rPr>
      </w:pPr>
      <w:r w:rsidRPr="0011694A">
        <w:rPr>
          <w:i/>
        </w:rPr>
        <w:t>Témy: základné úvahy a pojmy z oblasti hodnotenia, hodnotenie ako spätná väzba, spätná väzba ako významná súčasť učenia sa, ako poskytovať inštruktívnu spätnú väzbu (diagnostika, vysvetlenie a formulovanie odporúčaní), klasifikácia žiakov (t. j. hodnotenie známkami) – pozitíva a negatíva, slovné hodnotenie – pozitíva a negatíva, riešenie typických problémov učiteľov spojených s hodnotením žiakov</w:t>
      </w:r>
    </w:p>
    <w:p w14:paraId="78088FCD" w14:textId="77777777" w:rsidR="00B87CDC" w:rsidRPr="0011694A" w:rsidRDefault="00B87CDC" w:rsidP="00B87CDC">
      <w:pPr>
        <w:rPr>
          <w:i/>
        </w:rPr>
      </w:pPr>
      <w:r w:rsidRPr="0011694A">
        <w:rPr>
          <w:i/>
        </w:rPr>
        <w:t xml:space="preserve">Lektor: Vladimír </w:t>
      </w:r>
      <w:proofErr w:type="spellStart"/>
      <w:r w:rsidRPr="0011694A">
        <w:rPr>
          <w:i/>
        </w:rPr>
        <w:t>Burjan</w:t>
      </w:r>
      <w:proofErr w:type="spellEnd"/>
    </w:p>
    <w:p w14:paraId="7B819977" w14:textId="77777777" w:rsidR="00B87CDC" w:rsidRPr="0011694A" w:rsidRDefault="00B87CDC" w:rsidP="00B87CDC">
      <w:pPr>
        <w:rPr>
          <w:i/>
        </w:rPr>
      </w:pPr>
      <w:r w:rsidRPr="0011694A">
        <w:rPr>
          <w:i/>
        </w:rPr>
        <w:t>Rozsah: 38 hodín</w:t>
      </w:r>
    </w:p>
    <w:p w14:paraId="35E95CF2" w14:textId="72D75F05" w:rsidR="00B87CDC" w:rsidRDefault="00B87CDC" w:rsidP="00B87CDC">
      <w:pPr>
        <w:rPr>
          <w:i/>
        </w:rPr>
      </w:pPr>
      <w:r w:rsidRPr="0011694A">
        <w:rPr>
          <w:i/>
        </w:rPr>
        <w:t xml:space="preserve">Účastníci za RCPU: </w:t>
      </w:r>
      <w:r w:rsidR="00805B9C">
        <w:rPr>
          <w:i/>
        </w:rPr>
        <w:t xml:space="preserve">Mgr. Mária </w:t>
      </w:r>
      <w:proofErr w:type="spellStart"/>
      <w:r w:rsidR="00805B9C">
        <w:rPr>
          <w:i/>
        </w:rPr>
        <w:t>Hankovská</w:t>
      </w:r>
      <w:proofErr w:type="spellEnd"/>
      <w:r w:rsidR="00805B9C">
        <w:rPr>
          <w:i/>
        </w:rPr>
        <w:t xml:space="preserve">, PaedDr. Mária </w:t>
      </w:r>
      <w:proofErr w:type="spellStart"/>
      <w:r w:rsidR="00805B9C">
        <w:rPr>
          <w:i/>
        </w:rPr>
        <w:t>Exnerová</w:t>
      </w:r>
      <w:proofErr w:type="spellEnd"/>
      <w:r w:rsidR="00805B9C">
        <w:rPr>
          <w:i/>
        </w:rPr>
        <w:t>, Mgr. Stanislav Novotný</w:t>
      </w:r>
    </w:p>
    <w:p w14:paraId="0A591DC3" w14:textId="77777777" w:rsidR="00205BF3" w:rsidRDefault="00205BF3" w:rsidP="00B87CDC">
      <w:pPr>
        <w:rPr>
          <w:i/>
        </w:rPr>
      </w:pPr>
    </w:p>
    <w:p w14:paraId="449A24EA" w14:textId="77777777" w:rsidR="00205BF3" w:rsidRPr="00205BF3" w:rsidRDefault="00205BF3" w:rsidP="00205BF3">
      <w:pPr>
        <w:rPr>
          <w:i/>
        </w:rPr>
      </w:pPr>
      <w:r w:rsidRPr="00205BF3">
        <w:rPr>
          <w:b/>
          <w:bCs/>
          <w:i/>
        </w:rPr>
        <w:t>Manažovanie zmeny v škole (Práca s riaditeľmi škôl v období zmien)</w:t>
      </w:r>
      <w:r w:rsidRPr="00205BF3">
        <w:rPr>
          <w:i/>
        </w:rPr>
        <w:br/>
      </w:r>
      <w:r w:rsidRPr="00205BF3">
        <w:rPr>
          <w:b/>
          <w:bCs/>
          <w:i/>
        </w:rPr>
        <w:t>Lektor:</w:t>
      </w:r>
      <w:r w:rsidRPr="00205BF3">
        <w:rPr>
          <w:i/>
        </w:rPr>
        <w:t> PaedDr. Marek Kmeť</w:t>
      </w:r>
      <w:r w:rsidRPr="00205BF3">
        <w:rPr>
          <w:i/>
        </w:rPr>
        <w:br/>
      </w:r>
      <w:r w:rsidRPr="00205BF3">
        <w:rPr>
          <w:b/>
          <w:bCs/>
          <w:i/>
        </w:rPr>
        <w:t>Rozsah:</w:t>
      </w:r>
      <w:r w:rsidRPr="00205BF3">
        <w:rPr>
          <w:i/>
        </w:rPr>
        <w:t> 32 vyučovacích hodín (21 prezenčne + 11 dištančne) + 1 individuálna konzultácia</w:t>
      </w:r>
    </w:p>
    <w:p w14:paraId="0CB430A5" w14:textId="77777777" w:rsidR="00205BF3" w:rsidRDefault="00205BF3" w:rsidP="00205BF3">
      <w:pPr>
        <w:jc w:val="both"/>
        <w:rPr>
          <w:b/>
          <w:bCs/>
          <w:i/>
        </w:rPr>
      </w:pPr>
      <w:r w:rsidRPr="00205BF3">
        <w:rPr>
          <w:b/>
          <w:bCs/>
          <w:i/>
        </w:rPr>
        <w:t>Charakteristika kurzu:</w:t>
      </w:r>
    </w:p>
    <w:p w14:paraId="68870E6E" w14:textId="77BAF46B" w:rsidR="00205BF3" w:rsidRPr="00205BF3" w:rsidRDefault="00205BF3" w:rsidP="00205BF3">
      <w:pPr>
        <w:jc w:val="both"/>
        <w:rPr>
          <w:i/>
        </w:rPr>
      </w:pPr>
      <w:r w:rsidRPr="00205BF3">
        <w:rPr>
          <w:i/>
        </w:rPr>
        <w:t xml:space="preserve">Kurz je zameraný na podporu mentorov, ktorí pracujú s vedením škôl pri zavádzaní rôznych zmien. Účastníci absolvujú dve celodenné prezenčné stretnutia (zamerané na manažérske oblasti, komunikáciu zmien a prácu s odporom) a jeden </w:t>
      </w:r>
      <w:proofErr w:type="spellStart"/>
      <w:r w:rsidRPr="00205BF3">
        <w:rPr>
          <w:i/>
        </w:rPr>
        <w:t>follow-up</w:t>
      </w:r>
      <w:proofErr w:type="spellEnd"/>
      <w:r w:rsidRPr="00205BF3">
        <w:rPr>
          <w:i/>
        </w:rPr>
        <w:t xml:space="preserve"> deň, kde sa budú riešiť prípadové štúdie, zdieľať skúsenosti a posilňovať praktické zručnosti.</w:t>
      </w:r>
    </w:p>
    <w:p w14:paraId="2041819B" w14:textId="77777777" w:rsidR="00205BF3" w:rsidRPr="00205BF3" w:rsidRDefault="00205BF3" w:rsidP="00205BF3">
      <w:pPr>
        <w:rPr>
          <w:i/>
        </w:rPr>
      </w:pPr>
      <w:r w:rsidRPr="00205BF3">
        <w:rPr>
          <w:b/>
          <w:bCs/>
          <w:i/>
        </w:rPr>
        <w:t>Hlavné témy kurzu:</w:t>
      </w:r>
    </w:p>
    <w:p w14:paraId="0C15E384" w14:textId="77777777" w:rsidR="00205BF3" w:rsidRPr="00205BF3" w:rsidRDefault="00205BF3" w:rsidP="00205BF3">
      <w:pPr>
        <w:numPr>
          <w:ilvl w:val="0"/>
          <w:numId w:val="2"/>
        </w:numPr>
        <w:rPr>
          <w:i/>
        </w:rPr>
      </w:pPr>
      <w:r w:rsidRPr="00205BF3">
        <w:rPr>
          <w:i/>
        </w:rPr>
        <w:t>Plánovanie, nastavovanie a komunikovanie zmien</w:t>
      </w:r>
    </w:p>
    <w:p w14:paraId="3EC5E804" w14:textId="77777777" w:rsidR="00205BF3" w:rsidRPr="00205BF3" w:rsidRDefault="00205BF3" w:rsidP="00205BF3">
      <w:pPr>
        <w:numPr>
          <w:ilvl w:val="0"/>
          <w:numId w:val="2"/>
        </w:numPr>
        <w:rPr>
          <w:i/>
        </w:rPr>
      </w:pPr>
      <w:r w:rsidRPr="00205BF3">
        <w:rPr>
          <w:i/>
        </w:rPr>
        <w:t>Riešenie stresu, konfliktov a rezistencie voči zmenám</w:t>
      </w:r>
    </w:p>
    <w:p w14:paraId="4962A99C" w14:textId="77777777" w:rsidR="00205BF3" w:rsidRPr="00205BF3" w:rsidRDefault="00205BF3" w:rsidP="00205BF3">
      <w:pPr>
        <w:numPr>
          <w:ilvl w:val="0"/>
          <w:numId w:val="2"/>
        </w:numPr>
        <w:rPr>
          <w:i/>
        </w:rPr>
      </w:pPr>
      <w:r w:rsidRPr="00205BF3">
        <w:rPr>
          <w:i/>
        </w:rPr>
        <w:lastRenderedPageBreak/>
        <w:t xml:space="preserve">Rola </w:t>
      </w:r>
      <w:proofErr w:type="spellStart"/>
      <w:r w:rsidRPr="00205BF3">
        <w:rPr>
          <w:i/>
        </w:rPr>
        <w:t>lídera</w:t>
      </w:r>
      <w:proofErr w:type="spellEnd"/>
      <w:r w:rsidRPr="00205BF3">
        <w:rPr>
          <w:i/>
        </w:rPr>
        <w:t xml:space="preserve"> v meniacom sa prostredí (</w:t>
      </w:r>
      <w:proofErr w:type="spellStart"/>
      <w:r w:rsidRPr="00205BF3">
        <w:rPr>
          <w:i/>
        </w:rPr>
        <w:t>selfmanagement</w:t>
      </w:r>
      <w:proofErr w:type="spellEnd"/>
      <w:r w:rsidRPr="00205BF3">
        <w:rPr>
          <w:i/>
        </w:rPr>
        <w:t>, delegovanie)</w:t>
      </w:r>
    </w:p>
    <w:p w14:paraId="69119C70" w14:textId="77777777" w:rsidR="00205BF3" w:rsidRPr="00205BF3" w:rsidRDefault="00205BF3" w:rsidP="00205BF3">
      <w:pPr>
        <w:numPr>
          <w:ilvl w:val="0"/>
          <w:numId w:val="2"/>
        </w:numPr>
        <w:rPr>
          <w:i/>
        </w:rPr>
      </w:pPr>
      <w:r w:rsidRPr="00205BF3">
        <w:rPr>
          <w:i/>
        </w:rPr>
        <w:t>Motivácia, argumentácia a práca s rôznymi typmi riaditeľov</w:t>
      </w:r>
    </w:p>
    <w:p w14:paraId="00EEBD0C" w14:textId="59BC99E9" w:rsidR="00205BF3" w:rsidRDefault="00205BF3" w:rsidP="00205BF3">
      <w:pPr>
        <w:rPr>
          <w:i/>
        </w:rPr>
      </w:pPr>
      <w:r w:rsidRPr="00205BF3">
        <w:rPr>
          <w:i/>
        </w:rPr>
        <w:t xml:space="preserve">Účastníci za RCPU: Mgr. Mária </w:t>
      </w:r>
      <w:proofErr w:type="spellStart"/>
      <w:r w:rsidRPr="00205BF3">
        <w:rPr>
          <w:i/>
        </w:rPr>
        <w:t>Hankovská</w:t>
      </w:r>
      <w:proofErr w:type="spellEnd"/>
      <w:r w:rsidRPr="00205BF3">
        <w:rPr>
          <w:i/>
        </w:rPr>
        <w:t xml:space="preserve">, PaedDr. Mária </w:t>
      </w:r>
      <w:proofErr w:type="spellStart"/>
      <w:r w:rsidRPr="00205BF3">
        <w:rPr>
          <w:i/>
        </w:rPr>
        <w:t>Exnerová</w:t>
      </w:r>
      <w:proofErr w:type="spellEnd"/>
      <w:r w:rsidRPr="00205BF3">
        <w:rPr>
          <w:i/>
        </w:rPr>
        <w:t xml:space="preserve">, Mgr. </w:t>
      </w:r>
      <w:r>
        <w:rPr>
          <w:i/>
        </w:rPr>
        <w:t>Peter Tej</w:t>
      </w:r>
    </w:p>
    <w:p w14:paraId="6D892579" w14:textId="77777777" w:rsidR="00205BF3" w:rsidRPr="00177694" w:rsidRDefault="00205BF3" w:rsidP="00205BF3">
      <w:pPr>
        <w:rPr>
          <w:b/>
          <w:bCs/>
          <w:i/>
        </w:rPr>
      </w:pPr>
    </w:p>
    <w:p w14:paraId="54020C3A" w14:textId="6B80794A" w:rsidR="00205BF3" w:rsidRPr="00205BF3" w:rsidRDefault="00205BF3" w:rsidP="00205BF3">
      <w:pPr>
        <w:rPr>
          <w:b/>
          <w:bCs/>
          <w:i/>
        </w:rPr>
      </w:pPr>
      <w:r w:rsidRPr="00205BF3">
        <w:rPr>
          <w:b/>
          <w:bCs/>
          <w:i/>
        </w:rPr>
        <w:t>Využitie prostriedkov edukačného portálu VIKI na tvorbu didaktických materiálov</w:t>
      </w:r>
    </w:p>
    <w:p w14:paraId="13C4E9FD" w14:textId="0DBC41C3" w:rsidR="00205BF3" w:rsidRPr="00205BF3" w:rsidRDefault="00205BF3" w:rsidP="00205BF3">
      <w:pPr>
        <w:rPr>
          <w:i/>
        </w:rPr>
      </w:pPr>
      <w:r w:rsidRPr="00205BF3">
        <w:rPr>
          <w:b/>
          <w:bCs/>
          <w:i/>
        </w:rPr>
        <w:t>Termíny (online)</w:t>
      </w:r>
    </w:p>
    <w:p w14:paraId="0451477C" w14:textId="77777777" w:rsidR="00205BF3" w:rsidRPr="00205BF3" w:rsidRDefault="00205BF3" w:rsidP="00205BF3">
      <w:pPr>
        <w:numPr>
          <w:ilvl w:val="0"/>
          <w:numId w:val="4"/>
        </w:numPr>
        <w:rPr>
          <w:i/>
        </w:rPr>
      </w:pPr>
      <w:r w:rsidRPr="00205BF3">
        <w:rPr>
          <w:b/>
          <w:bCs/>
          <w:i/>
        </w:rPr>
        <w:t>08.02.2024 (štvrtok) | 15.00 – 16.00</w:t>
      </w:r>
    </w:p>
    <w:p w14:paraId="3D3018D8" w14:textId="77777777" w:rsidR="00205BF3" w:rsidRPr="00205BF3" w:rsidRDefault="00205BF3" w:rsidP="00205BF3">
      <w:pPr>
        <w:numPr>
          <w:ilvl w:val="0"/>
          <w:numId w:val="4"/>
        </w:numPr>
        <w:rPr>
          <w:i/>
        </w:rPr>
      </w:pPr>
      <w:r w:rsidRPr="00205BF3">
        <w:rPr>
          <w:b/>
          <w:bCs/>
          <w:i/>
        </w:rPr>
        <w:t>15.02.2024 (štvrtok) | 15.00 – 16.00</w:t>
      </w:r>
    </w:p>
    <w:p w14:paraId="7935E42B" w14:textId="77777777" w:rsidR="00205BF3" w:rsidRPr="00205BF3" w:rsidRDefault="00205BF3" w:rsidP="00205BF3">
      <w:pPr>
        <w:numPr>
          <w:ilvl w:val="0"/>
          <w:numId w:val="4"/>
        </w:numPr>
        <w:rPr>
          <w:i/>
        </w:rPr>
      </w:pPr>
      <w:r w:rsidRPr="00205BF3">
        <w:rPr>
          <w:b/>
          <w:bCs/>
          <w:i/>
        </w:rPr>
        <w:t>22.02.2024 (štvrtok) | 15.00 – 16.00</w:t>
      </w:r>
    </w:p>
    <w:p w14:paraId="60FA8B9D" w14:textId="752DA559" w:rsidR="00205BF3" w:rsidRPr="00205BF3" w:rsidRDefault="00205BF3" w:rsidP="00205BF3">
      <w:pPr>
        <w:rPr>
          <w:i/>
        </w:rPr>
      </w:pPr>
      <w:r w:rsidRPr="00205BF3">
        <w:rPr>
          <w:b/>
          <w:bCs/>
          <w:i/>
        </w:rPr>
        <w:t>Ciele a obsah vzdelávania</w:t>
      </w:r>
    </w:p>
    <w:p w14:paraId="06CAE44C" w14:textId="77777777" w:rsidR="00205BF3" w:rsidRPr="00205BF3" w:rsidRDefault="00205BF3" w:rsidP="00205BF3">
      <w:pPr>
        <w:numPr>
          <w:ilvl w:val="0"/>
          <w:numId w:val="5"/>
        </w:numPr>
        <w:rPr>
          <w:i/>
        </w:rPr>
      </w:pPr>
      <w:r w:rsidRPr="00205BF3">
        <w:rPr>
          <w:b/>
          <w:bCs/>
          <w:i/>
        </w:rPr>
        <w:t>Prehĺbiť a inovovať digitálne kompetencie</w:t>
      </w:r>
      <w:r w:rsidRPr="00205BF3">
        <w:rPr>
          <w:i/>
        </w:rPr>
        <w:t> mentorov prostredníctvom tvorby a implementácie digitálneho edukačného obsahu na portáli VIKI.</w:t>
      </w:r>
    </w:p>
    <w:p w14:paraId="30A4FE6B" w14:textId="77777777" w:rsidR="00205BF3" w:rsidRPr="00205BF3" w:rsidRDefault="00205BF3" w:rsidP="00205BF3">
      <w:pPr>
        <w:numPr>
          <w:ilvl w:val="0"/>
          <w:numId w:val="5"/>
        </w:numPr>
        <w:rPr>
          <w:i/>
        </w:rPr>
      </w:pPr>
      <w:r w:rsidRPr="00205BF3">
        <w:rPr>
          <w:b/>
          <w:bCs/>
          <w:i/>
        </w:rPr>
        <w:t>Analyzovať a využiť</w:t>
      </w:r>
      <w:r w:rsidRPr="00205BF3">
        <w:rPr>
          <w:i/>
        </w:rPr>
        <w:t> existujúce učebné zdroje VIKI z hľadiska potrieb pedagogickej praxe.</w:t>
      </w:r>
    </w:p>
    <w:p w14:paraId="44C11B4C" w14:textId="77777777" w:rsidR="00205BF3" w:rsidRPr="00205BF3" w:rsidRDefault="00205BF3" w:rsidP="00205BF3">
      <w:pPr>
        <w:numPr>
          <w:ilvl w:val="0"/>
          <w:numId w:val="5"/>
        </w:numPr>
        <w:rPr>
          <w:i/>
        </w:rPr>
      </w:pPr>
      <w:r w:rsidRPr="00205BF3">
        <w:rPr>
          <w:b/>
          <w:bCs/>
          <w:i/>
        </w:rPr>
        <w:t>Vytvárať kolekcie a úlohy</w:t>
      </w:r>
      <w:r w:rsidRPr="00205BF3">
        <w:rPr>
          <w:i/>
        </w:rPr>
        <w:t> s možnosťou využitia vo vlastných aprobačných predmetoch.</w:t>
      </w:r>
    </w:p>
    <w:p w14:paraId="3F4116F0" w14:textId="77777777" w:rsidR="00205BF3" w:rsidRPr="00205BF3" w:rsidRDefault="00205BF3" w:rsidP="00205BF3">
      <w:pPr>
        <w:numPr>
          <w:ilvl w:val="0"/>
          <w:numId w:val="5"/>
        </w:numPr>
        <w:rPr>
          <w:i/>
        </w:rPr>
      </w:pPr>
      <w:r w:rsidRPr="00205BF3">
        <w:rPr>
          <w:b/>
          <w:bCs/>
          <w:i/>
        </w:rPr>
        <w:t>Používať autorský nástroj</w:t>
      </w:r>
      <w:r w:rsidRPr="00205BF3">
        <w:rPr>
          <w:i/>
        </w:rPr>
        <w:t> „Otázky odpovede“, publikovať a hodnotiť materiály.</w:t>
      </w:r>
    </w:p>
    <w:p w14:paraId="5D6722DC" w14:textId="77777777" w:rsidR="00205BF3" w:rsidRPr="00205BF3" w:rsidRDefault="00205BF3" w:rsidP="00205BF3">
      <w:pPr>
        <w:rPr>
          <w:b/>
          <w:bCs/>
          <w:i/>
        </w:rPr>
      </w:pPr>
      <w:r w:rsidRPr="00205BF3">
        <w:rPr>
          <w:b/>
          <w:bCs/>
          <w:i/>
        </w:rPr>
        <w:t>Program vzdelávania</w:t>
      </w:r>
    </w:p>
    <w:p w14:paraId="58B12E3B" w14:textId="77777777" w:rsidR="00205BF3" w:rsidRPr="00205BF3" w:rsidRDefault="00205BF3" w:rsidP="00205BF3">
      <w:pPr>
        <w:numPr>
          <w:ilvl w:val="0"/>
          <w:numId w:val="6"/>
        </w:numPr>
        <w:rPr>
          <w:i/>
        </w:rPr>
      </w:pPr>
      <w:r w:rsidRPr="00205BF3">
        <w:rPr>
          <w:b/>
          <w:bCs/>
          <w:i/>
        </w:rPr>
        <w:t>Stretnutie (08.02.2024)</w:t>
      </w:r>
      <w:r w:rsidRPr="00205BF3">
        <w:rPr>
          <w:i/>
        </w:rPr>
        <w:t>:</w:t>
      </w:r>
    </w:p>
    <w:p w14:paraId="2047853F" w14:textId="77777777" w:rsidR="00205BF3" w:rsidRPr="00205BF3" w:rsidRDefault="00205BF3" w:rsidP="00205BF3">
      <w:pPr>
        <w:numPr>
          <w:ilvl w:val="1"/>
          <w:numId w:val="6"/>
        </w:numPr>
        <w:rPr>
          <w:i/>
        </w:rPr>
      </w:pPr>
      <w:r w:rsidRPr="00205BF3">
        <w:rPr>
          <w:i/>
        </w:rPr>
        <w:t>RIAM a VIKI ako nástroj učiteľa (štruktúra, práca s digitálnymi edukačnými obsahmi, tvorba účtov)</w:t>
      </w:r>
    </w:p>
    <w:p w14:paraId="72CF865E" w14:textId="77777777" w:rsidR="00205BF3" w:rsidRPr="00205BF3" w:rsidRDefault="00205BF3" w:rsidP="00205BF3">
      <w:pPr>
        <w:numPr>
          <w:ilvl w:val="0"/>
          <w:numId w:val="6"/>
        </w:numPr>
        <w:rPr>
          <w:i/>
        </w:rPr>
      </w:pPr>
      <w:r w:rsidRPr="00205BF3">
        <w:rPr>
          <w:b/>
          <w:bCs/>
          <w:i/>
        </w:rPr>
        <w:t>Stretnutie (15.02.2024)</w:t>
      </w:r>
      <w:r w:rsidRPr="00205BF3">
        <w:rPr>
          <w:i/>
        </w:rPr>
        <w:t>:</w:t>
      </w:r>
    </w:p>
    <w:p w14:paraId="1E62C51A" w14:textId="77777777" w:rsidR="00205BF3" w:rsidRPr="00205BF3" w:rsidRDefault="00205BF3" w:rsidP="00205BF3">
      <w:pPr>
        <w:numPr>
          <w:ilvl w:val="1"/>
          <w:numId w:val="6"/>
        </w:numPr>
        <w:rPr>
          <w:i/>
        </w:rPr>
      </w:pPr>
      <w:r w:rsidRPr="00205BF3">
        <w:rPr>
          <w:i/>
        </w:rPr>
        <w:t>Kolekcie a úlohy (pridávanie a úprava DEO, hodnotenie)</w:t>
      </w:r>
    </w:p>
    <w:p w14:paraId="4E304126" w14:textId="77777777" w:rsidR="00205BF3" w:rsidRPr="00205BF3" w:rsidRDefault="00205BF3" w:rsidP="00205BF3">
      <w:pPr>
        <w:numPr>
          <w:ilvl w:val="0"/>
          <w:numId w:val="6"/>
        </w:numPr>
        <w:rPr>
          <w:i/>
        </w:rPr>
      </w:pPr>
      <w:r w:rsidRPr="00205BF3">
        <w:rPr>
          <w:b/>
          <w:bCs/>
          <w:i/>
        </w:rPr>
        <w:t>Stretnutie (22.02.2024)</w:t>
      </w:r>
      <w:r w:rsidRPr="00205BF3">
        <w:rPr>
          <w:i/>
        </w:rPr>
        <w:t>:</w:t>
      </w:r>
    </w:p>
    <w:p w14:paraId="2C402C51" w14:textId="77777777" w:rsidR="00205BF3" w:rsidRPr="00205BF3" w:rsidRDefault="00205BF3" w:rsidP="00205BF3">
      <w:pPr>
        <w:numPr>
          <w:ilvl w:val="1"/>
          <w:numId w:val="6"/>
        </w:numPr>
        <w:rPr>
          <w:i/>
        </w:rPr>
      </w:pPr>
      <w:r w:rsidRPr="00205BF3">
        <w:rPr>
          <w:i/>
        </w:rPr>
        <w:t>Autorský nástroj „Otázky odpovede“ (vytváranie lekcií, zadávanie úloh, publikovanie obsahu)</w:t>
      </w:r>
    </w:p>
    <w:p w14:paraId="6C5D72BE" w14:textId="17E5D2FF" w:rsidR="00205BF3" w:rsidRDefault="00205BF3" w:rsidP="00205BF3">
      <w:pPr>
        <w:rPr>
          <w:i/>
        </w:rPr>
      </w:pPr>
      <w:r w:rsidRPr="00205BF3">
        <w:rPr>
          <w:b/>
          <w:bCs/>
          <w:i/>
        </w:rPr>
        <w:t>Zúčastnení za RCPU Bardejov</w:t>
      </w:r>
      <w:r>
        <w:rPr>
          <w:i/>
        </w:rPr>
        <w:t xml:space="preserve">: </w:t>
      </w:r>
      <w:r w:rsidRPr="00205BF3">
        <w:rPr>
          <w:i/>
        </w:rPr>
        <w:t>Peter Tej</w:t>
      </w:r>
      <w:r>
        <w:rPr>
          <w:i/>
        </w:rPr>
        <w:t xml:space="preserve">, </w:t>
      </w:r>
      <w:r w:rsidRPr="00205BF3">
        <w:rPr>
          <w:i/>
        </w:rPr>
        <w:t>Stanislav Novotný</w:t>
      </w:r>
      <w:r>
        <w:rPr>
          <w:i/>
        </w:rPr>
        <w:t xml:space="preserve">, </w:t>
      </w:r>
      <w:r w:rsidRPr="00205BF3">
        <w:rPr>
          <w:i/>
        </w:rPr>
        <w:t xml:space="preserve">Mária </w:t>
      </w:r>
      <w:proofErr w:type="spellStart"/>
      <w:r w:rsidRPr="00205BF3">
        <w:rPr>
          <w:i/>
        </w:rPr>
        <w:t>Hankovská</w:t>
      </w:r>
      <w:proofErr w:type="spellEnd"/>
      <w:r>
        <w:rPr>
          <w:i/>
        </w:rPr>
        <w:t xml:space="preserve">, </w:t>
      </w:r>
      <w:r w:rsidRPr="00205BF3">
        <w:rPr>
          <w:i/>
        </w:rPr>
        <w:t xml:space="preserve">Žaneta </w:t>
      </w:r>
      <w:proofErr w:type="spellStart"/>
      <w:r w:rsidRPr="00205BF3">
        <w:rPr>
          <w:i/>
        </w:rPr>
        <w:t>Lešičková</w:t>
      </w:r>
      <w:proofErr w:type="spellEnd"/>
    </w:p>
    <w:p w14:paraId="36F99CFE" w14:textId="77777777" w:rsidR="00177694" w:rsidRDefault="00177694" w:rsidP="00177694">
      <w:pPr>
        <w:rPr>
          <w:i/>
        </w:rPr>
      </w:pPr>
    </w:p>
    <w:p w14:paraId="7E19D9C1" w14:textId="62E99B59" w:rsidR="00177694" w:rsidRPr="00177694" w:rsidRDefault="00177694" w:rsidP="00177694">
      <w:pPr>
        <w:rPr>
          <w:i/>
        </w:rPr>
      </w:pPr>
      <w:r w:rsidRPr="00177694">
        <w:rPr>
          <w:b/>
          <w:bCs/>
          <w:i/>
        </w:rPr>
        <w:t>Rozvoj lektorských zručností</w:t>
      </w:r>
      <w:r w:rsidRPr="00177694">
        <w:rPr>
          <w:i/>
        </w:rPr>
        <w:br/>
        <w:t>Vzdelávanie je určené pre budúcich školiteľov, trénerov, lektorov a mentorov, ktorí chcú rozvíjať svoje profesijné kompetencie v oblasti plánovania, realizácie a hodnotenia vzdelávacích aktivít. Získané zručnosti môžu využiť aj pri mentorských činnostiach či pri aktualizačnom vzdelávaní.</w:t>
      </w:r>
    </w:p>
    <w:p w14:paraId="40C3B3AE" w14:textId="77777777" w:rsidR="00177694" w:rsidRPr="00177694" w:rsidRDefault="00177694" w:rsidP="00177694">
      <w:pPr>
        <w:rPr>
          <w:i/>
        </w:rPr>
      </w:pPr>
      <w:r w:rsidRPr="00177694">
        <w:rPr>
          <w:b/>
          <w:bCs/>
          <w:i/>
        </w:rPr>
        <w:t>Rozsah vzdelávania:</w:t>
      </w:r>
    </w:p>
    <w:p w14:paraId="2ED0E9B6" w14:textId="77777777" w:rsidR="00177694" w:rsidRPr="00177694" w:rsidRDefault="00177694" w:rsidP="00177694">
      <w:pPr>
        <w:numPr>
          <w:ilvl w:val="0"/>
          <w:numId w:val="9"/>
        </w:numPr>
        <w:rPr>
          <w:i/>
        </w:rPr>
      </w:pPr>
      <w:r w:rsidRPr="00177694">
        <w:rPr>
          <w:b/>
          <w:bCs/>
          <w:i/>
        </w:rPr>
        <w:t>1. deň (3 hod.)</w:t>
      </w:r>
    </w:p>
    <w:p w14:paraId="1FA2BA3E" w14:textId="77777777" w:rsidR="00177694" w:rsidRPr="00177694" w:rsidRDefault="00177694" w:rsidP="00177694">
      <w:pPr>
        <w:numPr>
          <w:ilvl w:val="1"/>
          <w:numId w:val="9"/>
        </w:numPr>
        <w:rPr>
          <w:i/>
        </w:rPr>
      </w:pPr>
      <w:r w:rsidRPr="00177694">
        <w:rPr>
          <w:i/>
        </w:rPr>
        <w:t>Analýza vzdelávacích potrieb, ciele vzdelávania</w:t>
      </w:r>
    </w:p>
    <w:p w14:paraId="40CFAF2B" w14:textId="77777777" w:rsidR="00177694" w:rsidRPr="00177694" w:rsidRDefault="00177694" w:rsidP="00177694">
      <w:pPr>
        <w:numPr>
          <w:ilvl w:val="1"/>
          <w:numId w:val="9"/>
        </w:numPr>
        <w:rPr>
          <w:i/>
        </w:rPr>
      </w:pPr>
      <w:r w:rsidRPr="00177694">
        <w:rPr>
          <w:i/>
        </w:rPr>
        <w:lastRenderedPageBreak/>
        <w:t>Obsah vzdelávania</w:t>
      </w:r>
    </w:p>
    <w:p w14:paraId="7A7FEBDE" w14:textId="77777777" w:rsidR="00177694" w:rsidRPr="00177694" w:rsidRDefault="00177694" w:rsidP="00177694">
      <w:pPr>
        <w:numPr>
          <w:ilvl w:val="1"/>
          <w:numId w:val="9"/>
        </w:numPr>
        <w:rPr>
          <w:i/>
        </w:rPr>
      </w:pPr>
      <w:r w:rsidRPr="00177694">
        <w:rPr>
          <w:i/>
        </w:rPr>
        <w:t>Organizačné zabezpečenie a priebeh (príprava miestnosti, úvod, uzatvorenie)</w:t>
      </w:r>
    </w:p>
    <w:p w14:paraId="1888AF64" w14:textId="77777777" w:rsidR="00177694" w:rsidRPr="00177694" w:rsidRDefault="00177694" w:rsidP="00177694">
      <w:pPr>
        <w:numPr>
          <w:ilvl w:val="0"/>
          <w:numId w:val="9"/>
        </w:numPr>
        <w:rPr>
          <w:i/>
        </w:rPr>
      </w:pPr>
      <w:r w:rsidRPr="00177694">
        <w:rPr>
          <w:b/>
          <w:bCs/>
          <w:i/>
        </w:rPr>
        <w:t>2. deň (6 hod.)</w:t>
      </w:r>
    </w:p>
    <w:p w14:paraId="4EBD6006" w14:textId="77777777" w:rsidR="00177694" w:rsidRPr="00177694" w:rsidRDefault="00177694" w:rsidP="00177694">
      <w:pPr>
        <w:numPr>
          <w:ilvl w:val="1"/>
          <w:numId w:val="9"/>
        </w:numPr>
        <w:rPr>
          <w:i/>
        </w:rPr>
      </w:pPr>
      <w:r w:rsidRPr="00177694">
        <w:rPr>
          <w:i/>
        </w:rPr>
        <w:t>Metódy a formy vzdelávania + zvládanie záťažových situácií</w:t>
      </w:r>
    </w:p>
    <w:p w14:paraId="5219B812" w14:textId="77777777" w:rsidR="00177694" w:rsidRPr="00177694" w:rsidRDefault="00177694" w:rsidP="00177694">
      <w:pPr>
        <w:numPr>
          <w:ilvl w:val="1"/>
          <w:numId w:val="9"/>
        </w:numPr>
        <w:rPr>
          <w:i/>
        </w:rPr>
      </w:pPr>
      <w:r w:rsidRPr="00177694">
        <w:rPr>
          <w:i/>
        </w:rPr>
        <w:t>Vlastné hodnotenie (reflexia)</w:t>
      </w:r>
    </w:p>
    <w:p w14:paraId="3FB767FA" w14:textId="77777777" w:rsidR="00177694" w:rsidRPr="00177694" w:rsidRDefault="00177694" w:rsidP="00177694">
      <w:pPr>
        <w:numPr>
          <w:ilvl w:val="1"/>
          <w:numId w:val="9"/>
        </w:numPr>
        <w:rPr>
          <w:i/>
        </w:rPr>
      </w:pPr>
      <w:r w:rsidRPr="00177694">
        <w:rPr>
          <w:i/>
        </w:rPr>
        <w:t>Hodnotenie vzdelávania (učebné výsledky, využiteľnosť v praxi a pod.)</w:t>
      </w:r>
    </w:p>
    <w:p w14:paraId="23FF81C5" w14:textId="40A9A110" w:rsidR="00205BF3" w:rsidRDefault="00177694" w:rsidP="00205BF3">
      <w:pPr>
        <w:rPr>
          <w:i/>
        </w:rPr>
      </w:pPr>
      <w:r>
        <w:rPr>
          <w:i/>
        </w:rPr>
        <w:t xml:space="preserve">Lektor: Mgr. Marek </w:t>
      </w:r>
      <w:proofErr w:type="spellStart"/>
      <w:r>
        <w:rPr>
          <w:i/>
        </w:rPr>
        <w:t>Gaj</w:t>
      </w:r>
      <w:proofErr w:type="spellEnd"/>
      <w:r>
        <w:rPr>
          <w:i/>
        </w:rPr>
        <w:t>, PhD.</w:t>
      </w:r>
    </w:p>
    <w:p w14:paraId="7801AD03" w14:textId="134F0D04" w:rsidR="006A1505" w:rsidRDefault="006A1505" w:rsidP="006A1505">
      <w:pPr>
        <w:rPr>
          <w:i/>
        </w:rPr>
      </w:pPr>
      <w:r w:rsidRPr="00205BF3">
        <w:rPr>
          <w:b/>
          <w:bCs/>
          <w:i/>
        </w:rPr>
        <w:t>Zúčastnení za RCPU Bardejov</w:t>
      </w:r>
      <w:r>
        <w:rPr>
          <w:i/>
        </w:rPr>
        <w:t xml:space="preserve">: </w:t>
      </w:r>
      <w:r w:rsidRPr="00205BF3">
        <w:rPr>
          <w:i/>
        </w:rPr>
        <w:t>Peter Tej</w:t>
      </w:r>
      <w:r>
        <w:rPr>
          <w:i/>
        </w:rPr>
        <w:t xml:space="preserve">, </w:t>
      </w:r>
      <w:r w:rsidRPr="00205BF3">
        <w:rPr>
          <w:i/>
        </w:rPr>
        <w:t>Stanislav Novotný</w:t>
      </w:r>
      <w:r>
        <w:rPr>
          <w:i/>
        </w:rPr>
        <w:t xml:space="preserve">, </w:t>
      </w:r>
      <w:r w:rsidRPr="00205BF3">
        <w:rPr>
          <w:i/>
        </w:rPr>
        <w:t xml:space="preserve">Mária </w:t>
      </w:r>
      <w:proofErr w:type="spellStart"/>
      <w:r w:rsidRPr="00205BF3">
        <w:rPr>
          <w:i/>
        </w:rPr>
        <w:t>Hankovská</w:t>
      </w:r>
      <w:proofErr w:type="spellEnd"/>
      <w:r>
        <w:rPr>
          <w:i/>
        </w:rPr>
        <w:t xml:space="preserve">, </w:t>
      </w:r>
      <w:r w:rsidRPr="00205BF3">
        <w:rPr>
          <w:i/>
        </w:rPr>
        <w:t xml:space="preserve">Žaneta </w:t>
      </w:r>
      <w:proofErr w:type="spellStart"/>
      <w:r w:rsidRPr="00205BF3">
        <w:rPr>
          <w:i/>
        </w:rPr>
        <w:t>Lešičková</w:t>
      </w:r>
      <w:proofErr w:type="spellEnd"/>
      <w:r>
        <w:rPr>
          <w:i/>
        </w:rPr>
        <w:t xml:space="preserve">, Mária </w:t>
      </w:r>
      <w:proofErr w:type="spellStart"/>
      <w:r>
        <w:rPr>
          <w:i/>
        </w:rPr>
        <w:t>Exnerová</w:t>
      </w:r>
      <w:proofErr w:type="spellEnd"/>
    </w:p>
    <w:p w14:paraId="549F8D59" w14:textId="77777777" w:rsidR="00B87CDC" w:rsidRPr="0011694A" w:rsidRDefault="00B87CDC" w:rsidP="00B87CDC">
      <w:pPr>
        <w:rPr>
          <w:i/>
        </w:rPr>
      </w:pPr>
    </w:p>
    <w:p w14:paraId="07FE7C95" w14:textId="77777777" w:rsidR="00B87CDC" w:rsidRPr="0011694A" w:rsidRDefault="00B87CDC" w:rsidP="00B87CDC">
      <w:pPr>
        <w:rPr>
          <w:b/>
          <w:sz w:val="24"/>
        </w:rPr>
      </w:pPr>
      <w:r w:rsidRPr="0011694A">
        <w:rPr>
          <w:b/>
          <w:sz w:val="24"/>
        </w:rPr>
        <w:t>Budovanie partnerstiev</w:t>
      </w:r>
    </w:p>
    <w:p w14:paraId="63A127AD" w14:textId="2D18FFB6" w:rsidR="00541429" w:rsidRPr="00541429" w:rsidRDefault="00541429" w:rsidP="00541429">
      <w:pPr>
        <w:jc w:val="both"/>
        <w:rPr>
          <w:i/>
        </w:rPr>
      </w:pPr>
      <w:r w:rsidRPr="00541429">
        <w:rPr>
          <w:b/>
          <w:bCs/>
          <w:i/>
        </w:rPr>
        <w:t xml:space="preserve">Vydavateľstvo </w:t>
      </w:r>
      <w:proofErr w:type="spellStart"/>
      <w:r w:rsidRPr="00541429">
        <w:rPr>
          <w:b/>
          <w:bCs/>
          <w:i/>
        </w:rPr>
        <w:t>MacMillen</w:t>
      </w:r>
      <w:proofErr w:type="spellEnd"/>
      <w:r w:rsidRPr="00541429">
        <w:rPr>
          <w:i/>
        </w:rPr>
        <w:t xml:space="preserve"> je pre nás kľúčovým partnerom v oblasti vzdelávania anglického jazyka. V uplynulom období sme s jeho podporou zorganizovali dva workshopy: </w:t>
      </w:r>
      <w:r w:rsidRPr="00541429">
        <w:rPr>
          <w:b/>
          <w:bCs/>
          <w:i/>
        </w:rPr>
        <w:t>Inkluzívne vyučovanie anglického jazyka pre učiteľov 1. stupňa ZŠ</w:t>
      </w:r>
      <w:r w:rsidRPr="00541429">
        <w:rPr>
          <w:i/>
        </w:rPr>
        <w:t xml:space="preserve"> a </w:t>
      </w:r>
      <w:r w:rsidRPr="00541429">
        <w:rPr>
          <w:b/>
          <w:bCs/>
          <w:i/>
        </w:rPr>
        <w:t>Inovatívne techniky pre vyučovanie anglického jazyka na 2. stupni ZŠ</w:t>
      </w:r>
      <w:r w:rsidRPr="00541429">
        <w:rPr>
          <w:i/>
        </w:rPr>
        <w:t xml:space="preserve">. Obe podujatia sa konali v priestoroch Gymnázia Leonarda </w:t>
      </w:r>
      <w:proofErr w:type="spellStart"/>
      <w:r w:rsidRPr="00541429">
        <w:rPr>
          <w:i/>
        </w:rPr>
        <w:t>Stöckela</w:t>
      </w:r>
      <w:proofErr w:type="spellEnd"/>
      <w:r w:rsidRPr="00541429">
        <w:rPr>
          <w:i/>
        </w:rPr>
        <w:t xml:space="preserve"> v Bardejove a boli súčasťou inovačného vzdelávania Slovenskej komory angličtinárov – SCELT </w:t>
      </w:r>
      <w:proofErr w:type="spellStart"/>
      <w:r w:rsidRPr="00541429">
        <w:rPr>
          <w:i/>
        </w:rPr>
        <w:t>o.z</w:t>
      </w:r>
      <w:proofErr w:type="spellEnd"/>
      <w:r w:rsidRPr="00541429">
        <w:rPr>
          <w:i/>
        </w:rPr>
        <w:t>. Ich odborné know-how a inovatívne prístupy prispeli k úspešnému priebehu workshopov, ktoré významne podporili profesionálny rozvoj zúčastnených učiteľov.</w:t>
      </w:r>
    </w:p>
    <w:p w14:paraId="07B42A70" w14:textId="0C798611" w:rsidR="00541429" w:rsidRPr="00541429" w:rsidRDefault="00541429" w:rsidP="00541429">
      <w:pPr>
        <w:jc w:val="both"/>
        <w:rPr>
          <w:i/>
        </w:rPr>
      </w:pPr>
      <w:r w:rsidRPr="00541429">
        <w:rPr>
          <w:b/>
          <w:bCs/>
          <w:i/>
        </w:rPr>
        <w:t>Mestský úrad Bardejov, Oddelenie školstva a športu</w:t>
      </w:r>
      <w:r w:rsidRPr="00541429">
        <w:rPr>
          <w:i/>
        </w:rPr>
        <w:t xml:space="preserve">, nám ponúka možnosť osloviť riaditeľov základných škôl v rámci ich pôsobnosti s cieľom informovať o workshopoch, prednáškach, </w:t>
      </w:r>
      <w:proofErr w:type="spellStart"/>
      <w:r w:rsidRPr="00541429">
        <w:rPr>
          <w:i/>
        </w:rPr>
        <w:t>facilitáciách</w:t>
      </w:r>
      <w:proofErr w:type="spellEnd"/>
      <w:r w:rsidRPr="00541429">
        <w:rPr>
          <w:i/>
        </w:rPr>
        <w:t xml:space="preserve"> a ďalších odborných aktivitách organizovaných Regionálnym centrom podpory učiteľov (RCPU) Bardejov. Táto spolupráca zahŕňa propagáciu vzdelávacích podujatí prostredníctvom relevantných komunikačných kanálov, čím zvyšuje povedomie o možnostiach profesionálneho rozvoja učiteľov v regióne. Vďaka podpore mestského úradu dokážeme efektívne koordinovať a realizovať rôzne vzdelávacie iniciatívy, čím prispievame k zvyšovaniu kvality vzdelávania na základných školách.</w:t>
      </w:r>
    </w:p>
    <w:p w14:paraId="3BFB53AB" w14:textId="4A1E6E47" w:rsidR="00541429" w:rsidRPr="00541429" w:rsidRDefault="00541429" w:rsidP="00541429">
      <w:pPr>
        <w:jc w:val="both"/>
        <w:rPr>
          <w:i/>
        </w:rPr>
      </w:pPr>
      <w:r w:rsidRPr="00541429">
        <w:rPr>
          <w:b/>
          <w:bCs/>
          <w:i/>
        </w:rPr>
        <w:t>Obecný úrad Sveržov, Školský úrad</w:t>
      </w:r>
      <w:r w:rsidRPr="00541429">
        <w:rPr>
          <w:i/>
        </w:rPr>
        <w:t xml:space="preserve">, je ďalším dôležitým partnerom, ktorý nám pomáha pri oslovovaní riaditeľov základných škôl vo svojej pôsobnosti. Vďaka systematickej propagácii podujatí a aktivít RCPU na ich platformách a kanáloch dokážeme informovať širšiu sieť pedagógov a vedenia škôl o našich workshopoch, prednáškach a </w:t>
      </w:r>
      <w:proofErr w:type="spellStart"/>
      <w:r w:rsidRPr="00541429">
        <w:rPr>
          <w:i/>
        </w:rPr>
        <w:t>facilitáciách</w:t>
      </w:r>
      <w:proofErr w:type="spellEnd"/>
      <w:r w:rsidRPr="00541429">
        <w:rPr>
          <w:i/>
        </w:rPr>
        <w:t>. Táto spolupráca nám umožňuje lepšie pokryť potreby menších škôl, nachádzajúcich sa v obciach a dedinách, a aktívne ich zapojiť do odborného vzdelávania.</w:t>
      </w:r>
    </w:p>
    <w:p w14:paraId="4188BA59" w14:textId="00D0D8BC" w:rsidR="00541429" w:rsidRPr="00541429" w:rsidRDefault="00541429" w:rsidP="00541429">
      <w:pPr>
        <w:jc w:val="both"/>
        <w:rPr>
          <w:i/>
        </w:rPr>
      </w:pPr>
      <w:r w:rsidRPr="00541429">
        <w:rPr>
          <w:i/>
        </w:rPr>
        <w:t xml:space="preserve">V </w:t>
      </w:r>
      <w:r w:rsidRPr="00541429">
        <w:rPr>
          <w:b/>
          <w:bCs/>
          <w:i/>
        </w:rPr>
        <w:t>Úrade práce, sociálnych vecí a rodiny, Oddelení podpory ochrany detí pred násilím</w:t>
      </w:r>
      <w:r w:rsidRPr="00541429">
        <w:rPr>
          <w:i/>
        </w:rPr>
        <w:t>, sa zameriavame na multidisciplinárne pracovné stretnutia, kde riešime témy ochrany detí, identifikácie nových výziev a plánovania preventívnych aktivít. V spolupráci s týmto oddelením poskytujeme školám špecializované nástroje a metodické postupy na riešenie prípadov násilia v školskom prostredí. Ide o preventívne stratégie, intervenčné opatrenia a následnú podporu pre obete, aby sme zabezpečili primeranú pomoc a ochranu. Praktické skúsenosti a odborné znalosti Úradu práce, sociálnych vecí a rodiny nám pomáhajú efektívnejšie koordinovať a zavádzať opatrenia na ochranu detí, čo prispieva k pozitívnej zmene klímy v školách.</w:t>
      </w:r>
    </w:p>
    <w:p w14:paraId="2EEE155E" w14:textId="5AB31FB4" w:rsidR="00177694" w:rsidRDefault="00541429" w:rsidP="006A1505">
      <w:pPr>
        <w:jc w:val="both"/>
        <w:rPr>
          <w:i/>
        </w:rPr>
      </w:pPr>
      <w:r w:rsidRPr="00541429">
        <w:rPr>
          <w:i/>
        </w:rPr>
        <w:t xml:space="preserve">Všetky uvedené spolupráce sú zásadné pre úspešné plnenie našej misie – rozvoj a modernizáciu vzdelávania. Vďaka partnerstvám s vydavateľstvom </w:t>
      </w:r>
      <w:proofErr w:type="spellStart"/>
      <w:r w:rsidRPr="00541429">
        <w:rPr>
          <w:i/>
        </w:rPr>
        <w:t>MacMillen</w:t>
      </w:r>
      <w:proofErr w:type="spellEnd"/>
      <w:r w:rsidRPr="00541429">
        <w:rPr>
          <w:i/>
        </w:rPr>
        <w:t xml:space="preserve">, samosprávnymi úradmi i Úradom </w:t>
      </w:r>
      <w:r w:rsidRPr="00541429">
        <w:rPr>
          <w:i/>
        </w:rPr>
        <w:lastRenderedPageBreak/>
        <w:t>práce, sociálnych vecí a rodiny dokážeme systematicky rozširovať ponuku vzdelávacích iniciatív, oslovovať širšie spektrum pedagógov a reagovať na aktuálne potreby v školskom prostredí. Ich podpora nám umožňuje kontinuálne prinášať inovácie, zdieľať osvedčené praktiky a metodiky a aktívne spolupracovať pri realizácii workshopov, seminárov, prednášok či preventívnych programov. Táto sieť partnerov preto tvorí neoddeliteľný základ pri zlepšovaní kvality vzdelávania, podpore profesionálneho rozvoja učiteľov a zároveň pri ochrane detí v našom regióne.</w:t>
      </w:r>
    </w:p>
    <w:p w14:paraId="55C8CDFA" w14:textId="7B3EAFE0" w:rsidR="006F402C" w:rsidRPr="0011694A" w:rsidRDefault="00541429" w:rsidP="00B87CDC">
      <w:pPr>
        <w:rPr>
          <w:i/>
        </w:rPr>
      </w:pPr>
      <w:r w:rsidRPr="00541429">
        <w:rPr>
          <w:i/>
        </w:rPr>
        <w:drawing>
          <wp:inline distT="0" distB="0" distL="0" distR="0" wp14:anchorId="096A2C26" wp14:editId="20240537">
            <wp:extent cx="5760720" cy="362585"/>
            <wp:effectExtent l="0" t="0" r="5080" b="5715"/>
            <wp:docPr id="52683424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83424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2C431" w14:textId="77777777" w:rsidR="006F402C" w:rsidRPr="0011694A" w:rsidRDefault="006F402C" w:rsidP="00B87CDC">
      <w:pPr>
        <w:rPr>
          <w:b/>
          <w:sz w:val="24"/>
        </w:rPr>
      </w:pPr>
      <w:r w:rsidRPr="0011694A">
        <w:rPr>
          <w:b/>
          <w:sz w:val="24"/>
        </w:rPr>
        <w:t>Podpora pre učiteľov v regiónoch pri implementácii nového kurikula základného vzdelávania</w:t>
      </w:r>
    </w:p>
    <w:p w14:paraId="1B51FAE1" w14:textId="1EB66E50" w:rsidR="006550DB" w:rsidRPr="006550DB" w:rsidRDefault="006550DB" w:rsidP="006550DB">
      <w:pPr>
        <w:jc w:val="both"/>
        <w:rPr>
          <w:i/>
        </w:rPr>
      </w:pPr>
      <w:r w:rsidRPr="006550DB">
        <w:rPr>
          <w:i/>
        </w:rPr>
        <w:t xml:space="preserve">V školskom roku 2023/24 sme v okrese Bardejov zapojili do </w:t>
      </w:r>
      <w:proofErr w:type="spellStart"/>
      <w:r w:rsidRPr="006550DB">
        <w:rPr>
          <w:b/>
          <w:bCs/>
          <w:i/>
        </w:rPr>
        <w:t>mentoringu</w:t>
      </w:r>
      <w:proofErr w:type="spellEnd"/>
      <w:r w:rsidRPr="006550DB">
        <w:rPr>
          <w:i/>
        </w:rPr>
        <w:t xml:space="preserve"> dovedna </w:t>
      </w:r>
      <w:r w:rsidRPr="006550DB">
        <w:rPr>
          <w:b/>
          <w:bCs/>
          <w:i/>
        </w:rPr>
        <w:t>32 učiteľov</w:t>
      </w:r>
      <w:r w:rsidRPr="006550DB">
        <w:rPr>
          <w:i/>
        </w:rPr>
        <w:t xml:space="preserve"> z rôznych typov základných škôl, od </w:t>
      </w:r>
      <w:proofErr w:type="spellStart"/>
      <w:r w:rsidRPr="006550DB">
        <w:rPr>
          <w:i/>
        </w:rPr>
        <w:t>plnoorganizovaných</w:t>
      </w:r>
      <w:proofErr w:type="spellEnd"/>
      <w:r w:rsidRPr="006550DB">
        <w:rPr>
          <w:i/>
        </w:rPr>
        <w:t xml:space="preserve"> mestských až po menšie </w:t>
      </w:r>
      <w:proofErr w:type="spellStart"/>
      <w:r w:rsidRPr="006550DB">
        <w:rPr>
          <w:i/>
        </w:rPr>
        <w:t>neplnoorganizované</w:t>
      </w:r>
      <w:proofErr w:type="spellEnd"/>
      <w:r w:rsidRPr="006550DB">
        <w:rPr>
          <w:i/>
        </w:rPr>
        <w:t xml:space="preserve"> v obciach. Cieľom tohto procesu bolo predovšetkým posilniť pedagogické zručnosti, zdieľať moderné vyučovacie metódy a podporiť kreatívne riešenia pri práci so žiakmi. </w:t>
      </w:r>
      <w:proofErr w:type="spellStart"/>
      <w:r w:rsidRPr="006550DB">
        <w:rPr>
          <w:i/>
        </w:rPr>
        <w:t>Mentoring</w:t>
      </w:r>
      <w:proofErr w:type="spellEnd"/>
      <w:r w:rsidRPr="006550DB">
        <w:rPr>
          <w:i/>
        </w:rPr>
        <w:t xml:space="preserve"> ponúkal učiteľom priestor na pravidelnú konzultáciu a získavanie priamej spätnej väzby od skúsených kolegov.</w:t>
      </w:r>
    </w:p>
    <w:p w14:paraId="5E13B508" w14:textId="57B2B646" w:rsidR="006550DB" w:rsidRPr="006550DB" w:rsidRDefault="006550DB" w:rsidP="006550DB">
      <w:pPr>
        <w:jc w:val="both"/>
        <w:rPr>
          <w:i/>
        </w:rPr>
      </w:pPr>
      <w:r w:rsidRPr="006550DB">
        <w:rPr>
          <w:i/>
        </w:rPr>
        <w:t xml:space="preserve">Do mentorských aktivít sa zapojilo </w:t>
      </w:r>
      <w:r w:rsidRPr="006550DB">
        <w:rPr>
          <w:b/>
          <w:bCs/>
          <w:i/>
        </w:rPr>
        <w:t>5 mentorov</w:t>
      </w:r>
      <w:r w:rsidRPr="006550DB">
        <w:rPr>
          <w:i/>
        </w:rPr>
        <w:t xml:space="preserve">: Mária </w:t>
      </w:r>
      <w:proofErr w:type="spellStart"/>
      <w:r w:rsidRPr="006550DB">
        <w:rPr>
          <w:i/>
        </w:rPr>
        <w:t>Exnerová</w:t>
      </w:r>
      <w:proofErr w:type="spellEnd"/>
      <w:r w:rsidRPr="006550DB">
        <w:rPr>
          <w:i/>
        </w:rPr>
        <w:t xml:space="preserve">, Mária </w:t>
      </w:r>
      <w:proofErr w:type="spellStart"/>
      <w:r w:rsidRPr="006550DB">
        <w:rPr>
          <w:i/>
        </w:rPr>
        <w:t>Hankovská</w:t>
      </w:r>
      <w:proofErr w:type="spellEnd"/>
      <w:r w:rsidRPr="006550DB">
        <w:rPr>
          <w:i/>
        </w:rPr>
        <w:t xml:space="preserve">, Stanislav Novotný, Peter Tej a Žaneta </w:t>
      </w:r>
      <w:proofErr w:type="spellStart"/>
      <w:r w:rsidRPr="006550DB">
        <w:rPr>
          <w:i/>
        </w:rPr>
        <w:t>Lešičková</w:t>
      </w:r>
      <w:proofErr w:type="spellEnd"/>
      <w:r w:rsidRPr="006550DB">
        <w:rPr>
          <w:i/>
        </w:rPr>
        <w:t xml:space="preserve">. Každý z nich poskytoval individuálnu alebo skupinovú podporu vybraným učiteľom, pričom sa zameriavali najmä na pozorovanie a analýzu vyučovacích hodín, nastavovanie konkrétnych cieľov pre profesijný rast a navrhovanie praktických inovácií. Podľa zaznamenaných údajov dosiahli mentori spolu </w:t>
      </w:r>
      <w:r w:rsidRPr="006550DB">
        <w:rPr>
          <w:b/>
          <w:bCs/>
          <w:i/>
        </w:rPr>
        <w:t>422 hodín</w:t>
      </w:r>
      <w:r w:rsidRPr="006550DB">
        <w:rPr>
          <w:i/>
        </w:rPr>
        <w:t xml:space="preserve"> priamych mentorských aktivít. Stretnutia s jednotlivými učiteľmi prebiehali v intervale </w:t>
      </w:r>
      <w:r w:rsidRPr="006550DB">
        <w:rPr>
          <w:b/>
          <w:bCs/>
          <w:i/>
        </w:rPr>
        <w:t>jedenkrát až dvakrát mesačne</w:t>
      </w:r>
      <w:r w:rsidRPr="006550DB">
        <w:rPr>
          <w:i/>
        </w:rPr>
        <w:t>, v závislosti od potrieb škôl a časových možností pedagógov i samotných mentorov.</w:t>
      </w:r>
    </w:p>
    <w:p w14:paraId="7A092B59" w14:textId="7A07F7B2" w:rsidR="006550DB" w:rsidRPr="006550DB" w:rsidRDefault="006550DB" w:rsidP="006550DB">
      <w:pPr>
        <w:jc w:val="both"/>
        <w:rPr>
          <w:i/>
        </w:rPr>
      </w:pPr>
      <w:r w:rsidRPr="006550DB">
        <w:rPr>
          <w:i/>
        </w:rPr>
        <w:t xml:space="preserve">V procese </w:t>
      </w:r>
      <w:proofErr w:type="spellStart"/>
      <w:r w:rsidRPr="006550DB">
        <w:rPr>
          <w:i/>
        </w:rPr>
        <w:t>mentoringu</w:t>
      </w:r>
      <w:proofErr w:type="spellEnd"/>
      <w:r w:rsidRPr="006550DB">
        <w:rPr>
          <w:i/>
        </w:rPr>
        <w:t xml:space="preserve"> bola kľúčová </w:t>
      </w:r>
      <w:r w:rsidRPr="006550DB">
        <w:rPr>
          <w:b/>
          <w:bCs/>
          <w:i/>
        </w:rPr>
        <w:t>spätná väzba</w:t>
      </w:r>
      <w:r w:rsidRPr="006550DB">
        <w:rPr>
          <w:i/>
        </w:rPr>
        <w:t xml:space="preserve">, ktorá učiteľom pomáhala reflektovať vlastný štýl výučby a postupne ho zdokonaľovať. Každý mentorovaný učiteľ dostal priestor na otvorenú diskusiu o problémoch, ktoré sa v praxi objavujú – či už ide o motiváciu žiakov, hodnotiace nástroje alebo využitie digitálnych technológií. Mentori pomáhali učiteľom hľadať riešenia, ktoré vyhovujú kontextu danej školy a konkrétnej skupine žiakov. Tento </w:t>
      </w:r>
      <w:r w:rsidRPr="006550DB">
        <w:rPr>
          <w:b/>
          <w:bCs/>
          <w:i/>
        </w:rPr>
        <w:t>partnerský prístup</w:t>
      </w:r>
      <w:r w:rsidRPr="006550DB">
        <w:rPr>
          <w:i/>
        </w:rPr>
        <w:t xml:space="preserve"> vytváral dôverné prostredie, v ktorom sa učitelia cítili podporení a inšpirovaní k ďalšiemu profesijnému rozvoju.</w:t>
      </w:r>
    </w:p>
    <w:p w14:paraId="4CD0F7EE" w14:textId="28C9234E" w:rsidR="006550DB" w:rsidRPr="006550DB" w:rsidRDefault="006550DB" w:rsidP="006550DB">
      <w:pPr>
        <w:jc w:val="both"/>
        <w:rPr>
          <w:i/>
        </w:rPr>
      </w:pPr>
      <w:r w:rsidRPr="006550DB">
        <w:rPr>
          <w:i/>
        </w:rPr>
        <w:t xml:space="preserve">Veríme, že pokračujúci </w:t>
      </w:r>
      <w:proofErr w:type="spellStart"/>
      <w:r w:rsidRPr="006550DB">
        <w:rPr>
          <w:b/>
          <w:bCs/>
          <w:i/>
        </w:rPr>
        <w:t>mentoring</w:t>
      </w:r>
      <w:proofErr w:type="spellEnd"/>
      <w:r w:rsidRPr="006550DB">
        <w:rPr>
          <w:i/>
        </w:rPr>
        <w:t xml:space="preserve"> prinesie ďalšie pozitívne zmeny v triedach i v prístupe učiteľov k svojmu odbornému rastu, čo sa napokon odrazí aj vo výsledkoch a spokojnosti žiakov.</w:t>
      </w:r>
    </w:p>
    <w:p w14:paraId="62F9758C" w14:textId="7EB68DB0" w:rsidR="006F402C" w:rsidRPr="0011694A" w:rsidRDefault="006F402C" w:rsidP="00B87CDC">
      <w:pPr>
        <w:rPr>
          <w:i/>
        </w:rPr>
      </w:pPr>
    </w:p>
    <w:tbl>
      <w:tblPr>
        <w:tblW w:w="6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427"/>
      </w:tblGrid>
      <w:tr w:rsidR="006F402C" w:rsidRPr="0011694A" w14:paraId="1EC57A82" w14:textId="77777777" w:rsidTr="006F402C">
        <w:trPr>
          <w:trHeight w:val="300"/>
        </w:trPr>
        <w:tc>
          <w:tcPr>
            <w:tcW w:w="4390" w:type="dxa"/>
          </w:tcPr>
          <w:p w14:paraId="171F551A" w14:textId="77777777" w:rsidR="006F402C" w:rsidRPr="0011694A" w:rsidRDefault="006F402C" w:rsidP="00956122">
            <w:pPr>
              <w:rPr>
                <w:rFonts w:eastAsia="Cambria" w:cs="Cambria"/>
                <w:b/>
              </w:rPr>
            </w:pPr>
            <w:proofErr w:type="spellStart"/>
            <w:r w:rsidRPr="0011694A">
              <w:rPr>
                <w:rFonts w:eastAsia="Cambria" w:cs="Cambria"/>
                <w:b/>
              </w:rPr>
              <w:t>Mentoring</w:t>
            </w:r>
            <w:proofErr w:type="spellEnd"/>
          </w:p>
        </w:tc>
        <w:tc>
          <w:tcPr>
            <w:tcW w:w="2427" w:type="dxa"/>
            <w:vAlign w:val="center"/>
          </w:tcPr>
          <w:p w14:paraId="28109233" w14:textId="2D787D15" w:rsidR="006F402C" w:rsidRPr="0011694A" w:rsidRDefault="006F402C" w:rsidP="00956122">
            <w:pPr>
              <w:jc w:val="center"/>
              <w:rPr>
                <w:rFonts w:eastAsia="Cambria" w:cs="Cambria"/>
                <w:b/>
              </w:rPr>
            </w:pPr>
            <w:r w:rsidRPr="0011694A">
              <w:rPr>
                <w:rFonts w:eastAsia="Cambria" w:cs="Cambria"/>
                <w:b/>
              </w:rPr>
              <w:t xml:space="preserve">RCPU pre okres </w:t>
            </w:r>
            <w:r w:rsidR="00D560CB">
              <w:rPr>
                <w:rFonts w:eastAsia="Cambria" w:cs="Cambria"/>
                <w:b/>
              </w:rPr>
              <w:t>Bardejov</w:t>
            </w:r>
          </w:p>
        </w:tc>
      </w:tr>
      <w:tr w:rsidR="006F402C" w:rsidRPr="0011694A" w14:paraId="2DE65FED" w14:textId="77777777" w:rsidTr="006F402C">
        <w:trPr>
          <w:trHeight w:val="300"/>
        </w:trPr>
        <w:tc>
          <w:tcPr>
            <w:tcW w:w="4390" w:type="dxa"/>
          </w:tcPr>
          <w:p w14:paraId="18F987C0" w14:textId="77777777" w:rsidR="006F402C" w:rsidRPr="0011694A" w:rsidRDefault="006F402C" w:rsidP="00956122">
            <w:pPr>
              <w:rPr>
                <w:rFonts w:eastAsia="Cambria" w:cs="Cambria"/>
              </w:rPr>
            </w:pPr>
            <w:r w:rsidRPr="0011694A">
              <w:rPr>
                <w:rFonts w:eastAsia="Cambria" w:cs="Cambria"/>
              </w:rPr>
              <w:t>Návšteva vyučovacej hodiny</w:t>
            </w:r>
          </w:p>
        </w:tc>
        <w:tc>
          <w:tcPr>
            <w:tcW w:w="2427" w:type="dxa"/>
            <w:vAlign w:val="center"/>
          </w:tcPr>
          <w:p w14:paraId="37D97EE8" w14:textId="1ACCDEDC" w:rsidR="006F402C" w:rsidRPr="0011694A" w:rsidRDefault="00424CCE" w:rsidP="00956122">
            <w:pPr>
              <w:jc w:val="center"/>
              <w:rPr>
                <w:rFonts w:eastAsia="Cambria" w:cs="Cambria"/>
              </w:rPr>
            </w:pPr>
            <w:r>
              <w:rPr>
                <w:rFonts w:eastAsia="Cambria" w:cs="Cambria"/>
              </w:rPr>
              <w:t>180</w:t>
            </w:r>
          </w:p>
        </w:tc>
      </w:tr>
      <w:tr w:rsidR="006F402C" w:rsidRPr="0011694A" w14:paraId="7AC0DCEC" w14:textId="77777777" w:rsidTr="006F402C">
        <w:trPr>
          <w:trHeight w:val="300"/>
        </w:trPr>
        <w:tc>
          <w:tcPr>
            <w:tcW w:w="4390" w:type="dxa"/>
          </w:tcPr>
          <w:p w14:paraId="79FAD22C" w14:textId="77777777" w:rsidR="006F402C" w:rsidRPr="0011694A" w:rsidRDefault="006F402C" w:rsidP="00956122">
            <w:pPr>
              <w:rPr>
                <w:rFonts w:eastAsia="Cambria" w:cs="Cambria"/>
              </w:rPr>
            </w:pPr>
            <w:r w:rsidRPr="0011694A">
              <w:rPr>
                <w:rFonts w:eastAsia="Cambria" w:cs="Cambria"/>
              </w:rPr>
              <w:t>Individuálna konzultácia</w:t>
            </w:r>
          </w:p>
        </w:tc>
        <w:tc>
          <w:tcPr>
            <w:tcW w:w="2427" w:type="dxa"/>
            <w:vAlign w:val="center"/>
          </w:tcPr>
          <w:p w14:paraId="265DE257" w14:textId="293FAF92" w:rsidR="006F402C" w:rsidRPr="0011694A" w:rsidRDefault="00424CCE" w:rsidP="00956122">
            <w:pPr>
              <w:jc w:val="center"/>
              <w:rPr>
                <w:rFonts w:eastAsia="Cambria" w:cs="Cambria"/>
              </w:rPr>
            </w:pPr>
            <w:r>
              <w:rPr>
                <w:rFonts w:eastAsia="Cambria" w:cs="Cambria"/>
              </w:rPr>
              <w:t>242</w:t>
            </w:r>
          </w:p>
        </w:tc>
      </w:tr>
      <w:tr w:rsidR="006F402C" w:rsidRPr="0011694A" w14:paraId="278946D4" w14:textId="77777777" w:rsidTr="006F402C">
        <w:trPr>
          <w:trHeight w:val="300"/>
        </w:trPr>
        <w:tc>
          <w:tcPr>
            <w:tcW w:w="4390" w:type="dxa"/>
          </w:tcPr>
          <w:p w14:paraId="53E84836" w14:textId="77777777" w:rsidR="006F402C" w:rsidRPr="0011694A" w:rsidRDefault="006F402C" w:rsidP="00956122">
            <w:pPr>
              <w:rPr>
                <w:rFonts w:eastAsia="Cambria" w:cs="Cambria"/>
              </w:rPr>
            </w:pPr>
            <w:r w:rsidRPr="0011694A">
              <w:rPr>
                <w:rFonts w:eastAsia="Cambria" w:cs="Cambria"/>
              </w:rPr>
              <w:t>SPOLU</w:t>
            </w:r>
          </w:p>
        </w:tc>
        <w:tc>
          <w:tcPr>
            <w:tcW w:w="2427" w:type="dxa"/>
          </w:tcPr>
          <w:p w14:paraId="112730D6" w14:textId="174C7DCA" w:rsidR="006F402C" w:rsidRPr="0011694A" w:rsidRDefault="00D560CB" w:rsidP="00956122">
            <w:pPr>
              <w:jc w:val="center"/>
              <w:rPr>
                <w:rFonts w:eastAsia="Cambria" w:cs="Cambria"/>
              </w:rPr>
            </w:pPr>
            <w:r>
              <w:rPr>
                <w:rFonts w:eastAsia="Cambria" w:cs="Cambria"/>
              </w:rPr>
              <w:t>422</w:t>
            </w:r>
          </w:p>
        </w:tc>
      </w:tr>
      <w:tr w:rsidR="006F402C" w:rsidRPr="0011694A" w14:paraId="51A4A558" w14:textId="77777777" w:rsidTr="006F402C">
        <w:trPr>
          <w:trHeight w:val="703"/>
        </w:trPr>
        <w:tc>
          <w:tcPr>
            <w:tcW w:w="4390" w:type="dxa"/>
          </w:tcPr>
          <w:p w14:paraId="586EF89F" w14:textId="77777777" w:rsidR="006F402C" w:rsidRPr="0011694A" w:rsidRDefault="006F402C" w:rsidP="00956122">
            <w:pPr>
              <w:rPr>
                <w:rFonts w:eastAsia="Cambria" w:cs="Cambria"/>
              </w:rPr>
            </w:pPr>
            <w:r w:rsidRPr="0011694A">
              <w:rPr>
                <w:rFonts w:eastAsia="Cambria" w:cs="Cambria"/>
              </w:rPr>
              <w:t xml:space="preserve">Jedinečný počet učiteľov, ktorým bol poskytovaný </w:t>
            </w:r>
            <w:proofErr w:type="spellStart"/>
            <w:r w:rsidRPr="0011694A">
              <w:rPr>
                <w:rFonts w:eastAsia="Cambria" w:cs="Cambria"/>
              </w:rPr>
              <w:t>mentoring</w:t>
            </w:r>
            <w:proofErr w:type="spellEnd"/>
            <w:r w:rsidRPr="0011694A">
              <w:rPr>
                <w:rFonts w:eastAsia="Cambria" w:cs="Cambria"/>
              </w:rPr>
              <w:t xml:space="preserve"> v školskom roku</w:t>
            </w:r>
          </w:p>
        </w:tc>
        <w:tc>
          <w:tcPr>
            <w:tcW w:w="2427" w:type="dxa"/>
          </w:tcPr>
          <w:p w14:paraId="3444E226" w14:textId="301D38FC" w:rsidR="006F402C" w:rsidRPr="0011694A" w:rsidRDefault="00424CCE" w:rsidP="00956122">
            <w:pPr>
              <w:jc w:val="center"/>
              <w:rPr>
                <w:rFonts w:eastAsia="Cambria" w:cs="Cambria"/>
              </w:rPr>
            </w:pPr>
            <w:r>
              <w:rPr>
                <w:rFonts w:eastAsia="Cambria" w:cs="Cambria"/>
              </w:rPr>
              <w:t>33</w:t>
            </w:r>
          </w:p>
        </w:tc>
      </w:tr>
    </w:tbl>
    <w:p w14:paraId="3467FD22" w14:textId="77777777" w:rsidR="006F402C" w:rsidRPr="0011694A" w:rsidRDefault="006F402C" w:rsidP="00B87CDC">
      <w:pPr>
        <w:rPr>
          <w:sz w:val="24"/>
        </w:rPr>
      </w:pPr>
    </w:p>
    <w:p w14:paraId="53D44B6B" w14:textId="79CE143D" w:rsidR="00F325F0" w:rsidRPr="00F325F0" w:rsidRDefault="00F325F0" w:rsidP="00F325F0">
      <w:pPr>
        <w:jc w:val="both"/>
        <w:rPr>
          <w:i/>
        </w:rPr>
      </w:pPr>
      <w:r w:rsidRPr="00F325F0">
        <w:rPr>
          <w:i/>
        </w:rPr>
        <w:lastRenderedPageBreak/>
        <w:t xml:space="preserve">V poslednom období sme sa zamerali na praktické </w:t>
      </w:r>
      <w:r>
        <w:rPr>
          <w:i/>
        </w:rPr>
        <w:t>workshopy</w:t>
      </w:r>
      <w:r w:rsidRPr="00F325F0">
        <w:rPr>
          <w:i/>
        </w:rPr>
        <w:t xml:space="preserve">, prednášky a diskusie, v ktorých učitelia najviac ocenili konkrétne návody na použitie digitálnych nástrojov (napr. </w:t>
      </w:r>
      <w:proofErr w:type="spellStart"/>
      <w:r w:rsidRPr="00F325F0">
        <w:rPr>
          <w:i/>
        </w:rPr>
        <w:t>ChatGPT</w:t>
      </w:r>
      <w:proofErr w:type="spellEnd"/>
      <w:r w:rsidRPr="00F325F0">
        <w:rPr>
          <w:i/>
        </w:rPr>
        <w:t>) a možnosti riešenia problémového správania žiakov. Žiadané boli aj workshopy zamerané na hodnotenie žiakov či komunikáciu s rodičmi. Menej záujmu prejavili o témy zamerané len na teóriu bez praktických ukážok, pričom viacerí zdôraznili potrebu väčšej interakcie, výmeny skúseností a príkladov z praxe.</w:t>
      </w:r>
    </w:p>
    <w:p w14:paraId="2486D841" w14:textId="0A93A049" w:rsidR="00F325F0" w:rsidRPr="00F325F0" w:rsidRDefault="00F325F0" w:rsidP="00F325F0">
      <w:pPr>
        <w:jc w:val="both"/>
        <w:rPr>
          <w:i/>
        </w:rPr>
      </w:pPr>
      <w:r w:rsidRPr="00F325F0">
        <w:rPr>
          <w:b/>
          <w:bCs/>
          <w:i/>
        </w:rPr>
        <w:t>Prehľad skupinových aktivít podľa evidencie z júna 2024</w:t>
      </w:r>
    </w:p>
    <w:p w14:paraId="6422F839" w14:textId="798D048C" w:rsidR="00F325F0" w:rsidRPr="00F325F0" w:rsidRDefault="00F325F0" w:rsidP="00F325F0">
      <w:pPr>
        <w:jc w:val="both"/>
        <w:rPr>
          <w:i/>
        </w:rPr>
      </w:pPr>
      <w:r>
        <w:rPr>
          <w:i/>
        </w:rPr>
        <w:t>V</w:t>
      </w:r>
      <w:r w:rsidRPr="00F325F0">
        <w:rPr>
          <w:i/>
        </w:rPr>
        <w:t xml:space="preserve"> rámci </w:t>
      </w:r>
      <w:r w:rsidRPr="00F325F0">
        <w:rPr>
          <w:b/>
          <w:bCs/>
          <w:i/>
        </w:rPr>
        <w:t>RCPU pre okres Bardejov</w:t>
      </w:r>
      <w:r w:rsidRPr="00F325F0">
        <w:rPr>
          <w:i/>
        </w:rPr>
        <w:t xml:space="preserve"> sa v danom období uskutočnilo niekoľko foriem skupinových aktivít, do ktorých sa zapojil kumulovaný počet </w:t>
      </w:r>
      <w:r w:rsidRPr="00F325F0">
        <w:rPr>
          <w:b/>
          <w:bCs/>
          <w:i/>
        </w:rPr>
        <w:t>784 účastníkov</w:t>
      </w:r>
      <w:r w:rsidRPr="00F325F0">
        <w:rPr>
          <w:i/>
        </w:rPr>
        <w:t>. Rozdelenie podľa typu vyzerá nasledovne:</w:t>
      </w:r>
    </w:p>
    <w:p w14:paraId="2C998EE8" w14:textId="7513E07A" w:rsidR="00F325F0" w:rsidRPr="00F325F0" w:rsidRDefault="00F325F0" w:rsidP="00F325F0">
      <w:pPr>
        <w:pStyle w:val="Odsekzoznamu"/>
        <w:numPr>
          <w:ilvl w:val="0"/>
          <w:numId w:val="1"/>
        </w:numPr>
        <w:jc w:val="both"/>
        <w:rPr>
          <w:i/>
        </w:rPr>
      </w:pPr>
      <w:r w:rsidRPr="00F325F0">
        <w:rPr>
          <w:b/>
          <w:bCs/>
          <w:i/>
        </w:rPr>
        <w:t>Celodňová skupinová aktivita</w:t>
      </w:r>
      <w:r w:rsidRPr="00F325F0">
        <w:rPr>
          <w:i/>
        </w:rPr>
        <w:t>: 5 uskutočnených akcií, celkovo 129 účastníkov.</w:t>
      </w:r>
    </w:p>
    <w:p w14:paraId="1A0C18D9" w14:textId="5B0B71D9" w:rsidR="00F325F0" w:rsidRPr="00F325F0" w:rsidRDefault="00F325F0" w:rsidP="00F325F0">
      <w:pPr>
        <w:pStyle w:val="Odsekzoznamu"/>
        <w:numPr>
          <w:ilvl w:val="0"/>
          <w:numId w:val="1"/>
        </w:numPr>
        <w:jc w:val="both"/>
        <w:rPr>
          <w:i/>
        </w:rPr>
      </w:pPr>
      <w:r w:rsidRPr="00F325F0">
        <w:rPr>
          <w:b/>
          <w:bCs/>
          <w:i/>
        </w:rPr>
        <w:t>Poldňová skupinová aktivita</w:t>
      </w:r>
      <w:r w:rsidRPr="00F325F0">
        <w:rPr>
          <w:i/>
        </w:rPr>
        <w:t>: 26 akcií, spolu 404 účastníkov.</w:t>
      </w:r>
    </w:p>
    <w:p w14:paraId="5D220A02" w14:textId="1365336F" w:rsidR="00F325F0" w:rsidRPr="00F325F0" w:rsidRDefault="00F325F0" w:rsidP="00F325F0">
      <w:pPr>
        <w:pStyle w:val="Odsekzoznamu"/>
        <w:numPr>
          <w:ilvl w:val="0"/>
          <w:numId w:val="1"/>
        </w:numPr>
        <w:jc w:val="both"/>
        <w:rPr>
          <w:i/>
        </w:rPr>
      </w:pPr>
      <w:proofErr w:type="spellStart"/>
      <w:r w:rsidRPr="00F325F0">
        <w:rPr>
          <w:b/>
          <w:bCs/>
          <w:i/>
        </w:rPr>
        <w:t>Facilitácia</w:t>
      </w:r>
      <w:proofErr w:type="spellEnd"/>
      <w:r w:rsidRPr="00F325F0">
        <w:rPr>
          <w:b/>
          <w:bCs/>
          <w:i/>
        </w:rPr>
        <w:t xml:space="preserve"> výmeny príkladov dobrej praxe</w:t>
      </w:r>
      <w:r w:rsidRPr="00F325F0">
        <w:rPr>
          <w:i/>
        </w:rPr>
        <w:t>: 8 akcií, na ktorých sa zúčastnilo 46 účastníkov.</w:t>
      </w:r>
    </w:p>
    <w:p w14:paraId="7DE6CC02" w14:textId="230AA230" w:rsidR="00F325F0" w:rsidRPr="00F325F0" w:rsidRDefault="00F325F0" w:rsidP="00F325F0">
      <w:pPr>
        <w:pStyle w:val="Odsekzoznamu"/>
        <w:numPr>
          <w:ilvl w:val="0"/>
          <w:numId w:val="1"/>
        </w:numPr>
        <w:jc w:val="both"/>
        <w:rPr>
          <w:i/>
        </w:rPr>
      </w:pPr>
      <w:r w:rsidRPr="00F325F0">
        <w:rPr>
          <w:b/>
          <w:bCs/>
          <w:i/>
        </w:rPr>
        <w:t>Prednáška</w:t>
      </w:r>
      <w:r w:rsidRPr="00F325F0">
        <w:rPr>
          <w:i/>
        </w:rPr>
        <w:t>: 9 uskutočnených prednášok s celkovou účasťou 196 pedagógov.</w:t>
      </w:r>
    </w:p>
    <w:p w14:paraId="5BF11AB1" w14:textId="0096B2DB" w:rsidR="00F325F0" w:rsidRPr="00F325F0" w:rsidRDefault="00F325F0" w:rsidP="00F325F0">
      <w:pPr>
        <w:pStyle w:val="Odsekzoznamu"/>
        <w:numPr>
          <w:ilvl w:val="0"/>
          <w:numId w:val="1"/>
        </w:numPr>
        <w:jc w:val="both"/>
        <w:rPr>
          <w:i/>
        </w:rPr>
      </w:pPr>
      <w:r w:rsidRPr="00F325F0">
        <w:rPr>
          <w:b/>
          <w:bCs/>
          <w:i/>
        </w:rPr>
        <w:t>Organizovanie diskusií</w:t>
      </w:r>
      <w:r w:rsidRPr="00F325F0">
        <w:rPr>
          <w:i/>
        </w:rPr>
        <w:t>: 1 diskusia, do ktorej sa zapojilo 9 záujemcov.</w:t>
      </w:r>
    </w:p>
    <w:p w14:paraId="67F7170C" w14:textId="09BAD289" w:rsidR="00F325F0" w:rsidRPr="00F325F0" w:rsidRDefault="00F325F0" w:rsidP="00F325F0">
      <w:pPr>
        <w:jc w:val="both"/>
        <w:rPr>
          <w:i/>
        </w:rPr>
      </w:pPr>
      <w:r w:rsidRPr="00F325F0">
        <w:rPr>
          <w:i/>
        </w:rPr>
        <w:t xml:space="preserve">Z hľadiska obsahu týchto podujatí sa najčastejšie riešili témy ako digitalizácia (najmä využitie nástroja </w:t>
      </w:r>
      <w:proofErr w:type="spellStart"/>
      <w:r w:rsidRPr="00F325F0">
        <w:rPr>
          <w:i/>
        </w:rPr>
        <w:t>ChatGPT</w:t>
      </w:r>
      <w:proofErr w:type="spellEnd"/>
      <w:r w:rsidRPr="00F325F0">
        <w:rPr>
          <w:i/>
        </w:rPr>
        <w:t>), hodnotenie žiakov, efektívne metódy práce s deťmi so špecifickými vzdelávacími potrebami a komunikácia s problematickými rodičmi. Účastníci pravidelne vypĺňali spätno-väzbové formuláre (SV), čím sa nám darilo získať prehľad o tom, do akej miery sa naplnili ich očakávania a ako hodnotia samotný prínos pre prax či prácu lektorov.</w:t>
      </w:r>
    </w:p>
    <w:p w14:paraId="0D3C24F1" w14:textId="77777777" w:rsidR="00F325F0" w:rsidRPr="00F325F0" w:rsidRDefault="00F325F0" w:rsidP="00F325F0">
      <w:pPr>
        <w:jc w:val="both"/>
        <w:rPr>
          <w:i/>
        </w:rPr>
      </w:pPr>
      <w:r w:rsidRPr="00F325F0">
        <w:rPr>
          <w:b/>
          <w:bCs/>
          <w:i/>
        </w:rPr>
        <w:t>Podrobnejšie údaje o aktivitách</w:t>
      </w:r>
    </w:p>
    <w:p w14:paraId="5761F582" w14:textId="77777777" w:rsidR="00F325F0" w:rsidRPr="00F325F0" w:rsidRDefault="00F325F0" w:rsidP="00F325F0">
      <w:pPr>
        <w:jc w:val="both"/>
        <w:rPr>
          <w:i/>
        </w:rPr>
      </w:pPr>
      <w:r w:rsidRPr="00F325F0">
        <w:rPr>
          <w:i/>
        </w:rPr>
        <w:tab/>
        <w:t>•</w:t>
      </w:r>
      <w:r w:rsidRPr="00F325F0">
        <w:rPr>
          <w:i/>
        </w:rPr>
        <w:tab/>
        <w:t xml:space="preserve">Pri aktivitách typu </w:t>
      </w:r>
      <w:r w:rsidRPr="00F325F0">
        <w:rPr>
          <w:i/>
          <w:iCs/>
        </w:rPr>
        <w:t>“</w:t>
      </w:r>
      <w:proofErr w:type="spellStart"/>
      <w:r w:rsidRPr="00F325F0">
        <w:rPr>
          <w:i/>
          <w:iCs/>
        </w:rPr>
        <w:t>ChatGPT</w:t>
      </w:r>
      <w:proofErr w:type="spellEnd"/>
      <w:r w:rsidRPr="00F325F0">
        <w:rPr>
          <w:i/>
          <w:iCs/>
        </w:rPr>
        <w:t xml:space="preserve"> v práci učiteľa”</w:t>
      </w:r>
      <w:r w:rsidRPr="00F325F0">
        <w:rPr>
          <w:i/>
        </w:rPr>
        <w:t xml:space="preserve"> sme zaznamenali vysokú účasť: 70 účastníkov v jednej z akcií, pričom užitočnosť týchto stretnutí ohodnotili priemerne známkou 1,46 (na škále 1–6, kde 1 je najlepšie hodnotenie). Interaktívne prednášky na tému digitalizácie dosahovali až 100% splnenie očakávaní v prípadoch, kde sa lektori aktívne venovali praktickým ukážkam a cvičeniam.</w:t>
      </w:r>
    </w:p>
    <w:p w14:paraId="641472C3" w14:textId="77777777" w:rsidR="00F325F0" w:rsidRPr="00F325F0" w:rsidRDefault="00F325F0" w:rsidP="00F325F0">
      <w:pPr>
        <w:jc w:val="both"/>
        <w:rPr>
          <w:i/>
        </w:rPr>
      </w:pPr>
      <w:r w:rsidRPr="00F325F0">
        <w:rPr>
          <w:i/>
        </w:rPr>
        <w:tab/>
        <w:t>•</w:t>
      </w:r>
      <w:r w:rsidRPr="00F325F0">
        <w:rPr>
          <w:i/>
        </w:rPr>
        <w:tab/>
        <w:t xml:space="preserve">Témy </w:t>
      </w:r>
      <w:r w:rsidRPr="00F325F0">
        <w:rPr>
          <w:i/>
          <w:iCs/>
        </w:rPr>
        <w:t>“Ako pracovať s deťmi s nežiaducimi prejavmi v správaní”</w:t>
      </w:r>
      <w:r w:rsidRPr="00F325F0">
        <w:rPr>
          <w:i/>
        </w:rPr>
        <w:t xml:space="preserve"> a </w:t>
      </w:r>
      <w:r w:rsidRPr="00F325F0">
        <w:rPr>
          <w:i/>
          <w:iCs/>
        </w:rPr>
        <w:t>“Komunikácia s agresívnym rodičom”</w:t>
      </w:r>
      <w:r w:rsidRPr="00F325F0">
        <w:rPr>
          <w:i/>
        </w:rPr>
        <w:t xml:space="preserve"> vyhľadávali hlavne učitelia 1. a 2. stupňa základných škôl. Pri týchto školeniach účastníci zdôrazňovali potrebu reálnych príkladov a modelových situácií, keďže ide o zručnosti nevyhnutné pre bezproblémový chod vyučovania.</w:t>
      </w:r>
    </w:p>
    <w:p w14:paraId="745E1958" w14:textId="7BA699B5" w:rsidR="00F325F0" w:rsidRPr="00F325F0" w:rsidRDefault="00F325F0" w:rsidP="00F325F0">
      <w:pPr>
        <w:jc w:val="both"/>
        <w:rPr>
          <w:i/>
        </w:rPr>
      </w:pPr>
      <w:r w:rsidRPr="00F325F0">
        <w:rPr>
          <w:i/>
        </w:rPr>
        <w:tab/>
        <w:t>•</w:t>
      </w:r>
      <w:r w:rsidRPr="00F325F0">
        <w:rPr>
          <w:i/>
        </w:rPr>
        <w:tab/>
        <w:t xml:space="preserve">Pri vybraných aktivitách venovaných </w:t>
      </w:r>
      <w:r w:rsidRPr="00F325F0">
        <w:rPr>
          <w:i/>
          <w:iCs/>
        </w:rPr>
        <w:t>“Vzdelávacím programom”</w:t>
      </w:r>
      <w:r w:rsidRPr="00F325F0">
        <w:rPr>
          <w:i/>
        </w:rPr>
        <w:t xml:space="preserve"> či </w:t>
      </w:r>
      <w:r w:rsidRPr="00F325F0">
        <w:rPr>
          <w:i/>
          <w:iCs/>
        </w:rPr>
        <w:t>“Hodnoteniu žiakov v 21. storočí”</w:t>
      </w:r>
      <w:r w:rsidRPr="00F325F0">
        <w:rPr>
          <w:i/>
        </w:rPr>
        <w:t xml:space="preserve"> sa zameriavame na legislatívne zmeny a konkrétne formy </w:t>
      </w:r>
      <w:proofErr w:type="spellStart"/>
      <w:r w:rsidRPr="00F325F0">
        <w:rPr>
          <w:i/>
        </w:rPr>
        <w:t>formatívneho</w:t>
      </w:r>
      <w:proofErr w:type="spellEnd"/>
      <w:r w:rsidRPr="00F325F0">
        <w:rPr>
          <w:i/>
        </w:rPr>
        <w:t xml:space="preserve"> či </w:t>
      </w:r>
      <w:proofErr w:type="spellStart"/>
      <w:r w:rsidRPr="00F325F0">
        <w:rPr>
          <w:i/>
        </w:rPr>
        <w:t>sumatívneho</w:t>
      </w:r>
      <w:proofErr w:type="spellEnd"/>
      <w:r w:rsidRPr="00F325F0">
        <w:rPr>
          <w:i/>
        </w:rPr>
        <w:t xml:space="preserve"> hodnotenia. Účastníci tu najviac oceňovali prípravu praktických dokumentov, ktoré môžu ihneď aplikovať do výučby.</w:t>
      </w:r>
    </w:p>
    <w:p w14:paraId="50D19FFA" w14:textId="4163B362" w:rsidR="00F325F0" w:rsidRPr="00F325F0" w:rsidRDefault="00F325F0" w:rsidP="00F325F0">
      <w:pPr>
        <w:jc w:val="both"/>
        <w:rPr>
          <w:i/>
        </w:rPr>
      </w:pPr>
      <w:r w:rsidRPr="00F325F0">
        <w:rPr>
          <w:i/>
        </w:rPr>
        <w:t xml:space="preserve">Účastníci v priemere pozitívne hodnotili aj prácu lektorov, napríklad pri akcii </w:t>
      </w:r>
      <w:r w:rsidRPr="00F325F0">
        <w:rPr>
          <w:i/>
          <w:iCs/>
        </w:rPr>
        <w:t>“Jarná škola – Uvažovanie o riadení zmeny”</w:t>
      </w:r>
      <w:r w:rsidRPr="00F325F0">
        <w:rPr>
          <w:i/>
        </w:rPr>
        <w:t xml:space="preserve"> dosiahlo splnenie očakávaní a užitočnosť školenia 100%. Napriek tomu, že väčšina podujatí mala vysokú mieru spokojnosti, niekoľko účastníkov uviedlo, že potrebujú ešte viac príkladov z praxe a dlhšie časové bloky na podrobnejšie rozpracovanie jednotlivých tém.</w:t>
      </w:r>
    </w:p>
    <w:p w14:paraId="3A317403" w14:textId="163C7B59" w:rsidR="00177694" w:rsidRDefault="00F325F0" w:rsidP="00177694">
      <w:pPr>
        <w:jc w:val="both"/>
        <w:rPr>
          <w:i/>
        </w:rPr>
      </w:pPr>
      <w:r w:rsidRPr="00F325F0">
        <w:rPr>
          <w:i/>
        </w:rPr>
        <w:t>Celkovo sa teda ukazuje, že najviac vyhľadávané sú interaktívne a prakticky orientované semináre či workshopy, kde majú učitelia priestor konzultovať reálne problémy a navzájom si vymieňať overené postupy. Táto spätná väzba nás motivuje ďalej rozvíjať a aktualizovať ponuku našich skupinových aktivít, aby sme uspokojili potreby moderného školstva a podporili kvalitu vyučovania v regióne.</w:t>
      </w:r>
    </w:p>
    <w:p w14:paraId="32766C8B" w14:textId="77777777" w:rsidR="00177694" w:rsidRPr="0011694A" w:rsidRDefault="00177694" w:rsidP="00177694">
      <w:pPr>
        <w:jc w:val="both"/>
        <w:rPr>
          <w:i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4053"/>
        <w:gridCol w:w="2542"/>
        <w:gridCol w:w="2467"/>
      </w:tblGrid>
      <w:tr w:rsidR="006F402C" w:rsidRPr="0011694A" w14:paraId="6ED0FB3F" w14:textId="77777777" w:rsidTr="00956122">
        <w:trPr>
          <w:trHeight w:val="30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18FED" w14:textId="77777777" w:rsidR="006F402C" w:rsidRPr="0011694A" w:rsidRDefault="006F402C" w:rsidP="00956122">
            <w:pPr>
              <w:spacing w:after="0" w:line="240" w:lineRule="auto"/>
              <w:rPr>
                <w:rFonts w:eastAsia="Cambria" w:cs="Cambria"/>
                <w:color w:val="000000"/>
              </w:rPr>
            </w:pPr>
            <w:r w:rsidRPr="0011694A">
              <w:rPr>
                <w:rFonts w:eastAsia="Cambria" w:cs="Cambria"/>
                <w:b/>
              </w:rPr>
              <w:lastRenderedPageBreak/>
              <w:t>Typ aktivity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B6F22" w14:textId="5C5644BA" w:rsidR="006F402C" w:rsidRPr="0011694A" w:rsidRDefault="006F402C" w:rsidP="00956122">
            <w:pPr>
              <w:spacing w:after="0" w:line="240" w:lineRule="auto"/>
              <w:jc w:val="center"/>
              <w:rPr>
                <w:rFonts w:eastAsia="Cambria" w:cs="Cambria"/>
                <w:color w:val="000000"/>
              </w:rPr>
            </w:pPr>
            <w:r w:rsidRPr="0011694A">
              <w:rPr>
                <w:rFonts w:eastAsia="Cambria" w:cs="Cambria"/>
                <w:b/>
              </w:rPr>
              <w:t xml:space="preserve">RCPU pre okres </w:t>
            </w:r>
            <w:r w:rsidR="00424CCE">
              <w:rPr>
                <w:rFonts w:eastAsia="Cambria" w:cs="Cambria"/>
                <w:b/>
              </w:rPr>
              <w:t>Bardejov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44BF" w14:textId="77777777" w:rsidR="006F402C" w:rsidRPr="0011694A" w:rsidRDefault="006F402C" w:rsidP="00956122">
            <w:pPr>
              <w:spacing w:after="0" w:line="240" w:lineRule="auto"/>
              <w:jc w:val="center"/>
              <w:rPr>
                <w:rFonts w:eastAsia="Cambria" w:cs="Cambria"/>
                <w:b/>
              </w:rPr>
            </w:pPr>
            <w:r w:rsidRPr="0011694A">
              <w:rPr>
                <w:rFonts w:eastAsia="Cambria" w:cs="Cambria"/>
                <w:b/>
              </w:rPr>
              <w:t>Kumulovaný počet účastníkov</w:t>
            </w:r>
          </w:p>
        </w:tc>
      </w:tr>
      <w:tr w:rsidR="006F402C" w:rsidRPr="0011694A" w14:paraId="1FC1D7D2" w14:textId="77777777" w:rsidTr="00956122">
        <w:trPr>
          <w:trHeight w:val="30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9200" w14:textId="77777777" w:rsidR="006F402C" w:rsidRPr="0011694A" w:rsidRDefault="006F402C" w:rsidP="00956122">
            <w:pPr>
              <w:spacing w:after="0" w:line="240" w:lineRule="auto"/>
              <w:rPr>
                <w:rFonts w:eastAsia="Cambria" w:cs="Cambria"/>
                <w:color w:val="000000"/>
              </w:rPr>
            </w:pPr>
            <w:r w:rsidRPr="0011694A">
              <w:rPr>
                <w:rFonts w:eastAsia="Cambria" w:cs="Cambria"/>
                <w:color w:val="000000"/>
              </w:rPr>
              <w:t>celodňová skupinová aktivita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4FC6A" w14:textId="74977580" w:rsidR="006F402C" w:rsidRPr="0011694A" w:rsidRDefault="00424CCE" w:rsidP="00956122">
            <w:pPr>
              <w:spacing w:after="0" w:line="240" w:lineRule="auto"/>
              <w:jc w:val="center"/>
              <w:rPr>
                <w:rFonts w:eastAsia="Cambria" w:cs="Cambria"/>
                <w:color w:val="000000"/>
              </w:rPr>
            </w:pPr>
            <w:r>
              <w:rPr>
                <w:rFonts w:eastAsia="Cambria" w:cs="Cambria"/>
                <w:color w:val="000000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565C" w14:textId="7AA4B509" w:rsidR="006F402C" w:rsidRPr="0011694A" w:rsidRDefault="00424CCE" w:rsidP="00956122">
            <w:pPr>
              <w:spacing w:after="0" w:line="240" w:lineRule="auto"/>
              <w:jc w:val="center"/>
              <w:rPr>
                <w:rFonts w:eastAsia="Cambria" w:cs="Cambria"/>
                <w:color w:val="000000"/>
              </w:rPr>
            </w:pPr>
            <w:r>
              <w:rPr>
                <w:rFonts w:eastAsia="Cambria" w:cs="Cambria"/>
                <w:color w:val="000000"/>
              </w:rPr>
              <w:t>129</w:t>
            </w:r>
          </w:p>
        </w:tc>
      </w:tr>
      <w:tr w:rsidR="006F402C" w:rsidRPr="0011694A" w14:paraId="5DF52AE8" w14:textId="77777777" w:rsidTr="00956122">
        <w:trPr>
          <w:trHeight w:val="300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694E" w14:textId="77777777" w:rsidR="006F402C" w:rsidRPr="0011694A" w:rsidRDefault="006F402C" w:rsidP="00956122">
            <w:pPr>
              <w:spacing w:after="0" w:line="240" w:lineRule="auto"/>
              <w:rPr>
                <w:rFonts w:eastAsia="Cambria" w:cs="Cambria"/>
                <w:color w:val="000000"/>
              </w:rPr>
            </w:pPr>
            <w:r w:rsidRPr="0011694A">
              <w:rPr>
                <w:rFonts w:eastAsia="Cambria" w:cs="Cambria"/>
                <w:color w:val="000000"/>
              </w:rPr>
              <w:t xml:space="preserve">poldňová skupinová aktivita 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1C343" w14:textId="608BA581" w:rsidR="006F402C" w:rsidRPr="0011694A" w:rsidRDefault="00424CCE" w:rsidP="00956122">
            <w:pPr>
              <w:spacing w:after="0" w:line="240" w:lineRule="auto"/>
              <w:jc w:val="center"/>
              <w:rPr>
                <w:rFonts w:eastAsia="Cambria" w:cs="Cambria"/>
                <w:color w:val="000000"/>
              </w:rPr>
            </w:pPr>
            <w:r>
              <w:rPr>
                <w:rFonts w:eastAsia="Cambria" w:cs="Cambria"/>
                <w:color w:val="000000"/>
              </w:rPr>
              <w:t>26</w:t>
            </w:r>
          </w:p>
        </w:tc>
        <w:tc>
          <w:tcPr>
            <w:tcW w:w="2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805D" w14:textId="4CFCE480" w:rsidR="006F402C" w:rsidRPr="0011694A" w:rsidRDefault="000E6DB2" w:rsidP="00956122">
            <w:pPr>
              <w:spacing w:after="0" w:line="240" w:lineRule="auto"/>
              <w:jc w:val="center"/>
              <w:rPr>
                <w:rFonts w:eastAsia="Cambria" w:cs="Cambria"/>
                <w:color w:val="000000"/>
              </w:rPr>
            </w:pPr>
            <w:r>
              <w:rPr>
                <w:rFonts w:eastAsia="Cambria" w:cs="Cambria"/>
                <w:color w:val="000000"/>
              </w:rPr>
              <w:t>404</w:t>
            </w:r>
          </w:p>
        </w:tc>
      </w:tr>
      <w:tr w:rsidR="006F402C" w:rsidRPr="0011694A" w14:paraId="61200B48" w14:textId="77777777" w:rsidTr="00956122">
        <w:trPr>
          <w:trHeight w:val="272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DCD3" w14:textId="77777777" w:rsidR="006F402C" w:rsidRPr="0011694A" w:rsidRDefault="006F402C" w:rsidP="00956122">
            <w:pPr>
              <w:spacing w:after="0" w:line="240" w:lineRule="auto"/>
              <w:rPr>
                <w:rFonts w:eastAsia="Cambria" w:cs="Cambria"/>
                <w:color w:val="000000"/>
              </w:rPr>
            </w:pPr>
            <w:proofErr w:type="spellStart"/>
            <w:r w:rsidRPr="0011694A">
              <w:rPr>
                <w:rFonts w:eastAsia="Cambria" w:cs="Cambria"/>
                <w:color w:val="000000"/>
              </w:rPr>
              <w:t>facilitácia</w:t>
            </w:r>
            <w:proofErr w:type="spellEnd"/>
            <w:r w:rsidRPr="0011694A">
              <w:rPr>
                <w:rFonts w:eastAsia="Cambria" w:cs="Cambria"/>
                <w:color w:val="000000"/>
              </w:rPr>
              <w:t xml:space="preserve"> výmeny príkladov dobrej praxe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35CA0" w14:textId="68593C9F" w:rsidR="006F402C" w:rsidRPr="0011694A" w:rsidRDefault="00424CCE" w:rsidP="00956122">
            <w:pPr>
              <w:spacing w:after="0" w:line="240" w:lineRule="auto"/>
              <w:jc w:val="center"/>
              <w:rPr>
                <w:rFonts w:eastAsia="Cambria" w:cs="Cambria"/>
                <w:color w:val="000000"/>
              </w:rPr>
            </w:pPr>
            <w:r>
              <w:rPr>
                <w:rFonts w:eastAsia="Cambria" w:cs="Cambria"/>
                <w:color w:val="000000"/>
              </w:rPr>
              <w:t>8</w:t>
            </w:r>
          </w:p>
        </w:tc>
        <w:tc>
          <w:tcPr>
            <w:tcW w:w="2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3506" w14:textId="7CB565E8" w:rsidR="006F402C" w:rsidRPr="0011694A" w:rsidRDefault="000E6DB2" w:rsidP="00956122">
            <w:pPr>
              <w:spacing w:after="0" w:line="240" w:lineRule="auto"/>
              <w:jc w:val="center"/>
              <w:rPr>
                <w:rFonts w:eastAsia="Cambria" w:cs="Cambria"/>
                <w:color w:val="000000"/>
              </w:rPr>
            </w:pPr>
            <w:r>
              <w:rPr>
                <w:rFonts w:eastAsia="Cambria" w:cs="Cambria"/>
                <w:color w:val="000000"/>
              </w:rPr>
              <w:t>46</w:t>
            </w:r>
          </w:p>
        </w:tc>
      </w:tr>
      <w:tr w:rsidR="006F402C" w:rsidRPr="0011694A" w14:paraId="73116854" w14:textId="77777777" w:rsidTr="00956122">
        <w:trPr>
          <w:trHeight w:val="300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BCC6" w14:textId="77777777" w:rsidR="006F402C" w:rsidRPr="0011694A" w:rsidRDefault="006F402C" w:rsidP="00956122">
            <w:pPr>
              <w:spacing w:after="0" w:line="240" w:lineRule="auto"/>
              <w:rPr>
                <w:rFonts w:eastAsia="Cambria" w:cs="Cambria"/>
                <w:color w:val="000000"/>
              </w:rPr>
            </w:pPr>
            <w:r w:rsidRPr="0011694A">
              <w:rPr>
                <w:rFonts w:eastAsia="Cambria" w:cs="Cambria"/>
                <w:color w:val="000000"/>
              </w:rPr>
              <w:t xml:space="preserve">prednáška 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FB5D3" w14:textId="023D5208" w:rsidR="006F402C" w:rsidRPr="0011694A" w:rsidRDefault="00424CCE" w:rsidP="00956122">
            <w:pPr>
              <w:spacing w:after="0" w:line="240" w:lineRule="auto"/>
              <w:jc w:val="center"/>
              <w:rPr>
                <w:rFonts w:eastAsia="Cambria" w:cs="Cambria"/>
                <w:color w:val="000000"/>
              </w:rPr>
            </w:pPr>
            <w:r>
              <w:rPr>
                <w:rFonts w:eastAsia="Cambria" w:cs="Cambria"/>
                <w:color w:val="000000"/>
              </w:rPr>
              <w:t>9</w:t>
            </w:r>
          </w:p>
        </w:tc>
        <w:tc>
          <w:tcPr>
            <w:tcW w:w="2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147B" w14:textId="2AE11FCC" w:rsidR="006F402C" w:rsidRPr="0011694A" w:rsidRDefault="000E6DB2" w:rsidP="00956122">
            <w:pPr>
              <w:spacing w:after="0" w:line="240" w:lineRule="auto"/>
              <w:jc w:val="center"/>
              <w:rPr>
                <w:rFonts w:eastAsia="Cambria" w:cs="Cambria"/>
                <w:color w:val="000000"/>
              </w:rPr>
            </w:pPr>
            <w:r>
              <w:rPr>
                <w:rFonts w:eastAsia="Cambria" w:cs="Cambria"/>
                <w:color w:val="000000"/>
              </w:rPr>
              <w:t>196</w:t>
            </w:r>
          </w:p>
        </w:tc>
      </w:tr>
      <w:tr w:rsidR="006F402C" w:rsidRPr="0011694A" w14:paraId="71C4E4A1" w14:textId="77777777" w:rsidTr="00956122">
        <w:trPr>
          <w:trHeight w:val="300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C60D0" w14:textId="77777777" w:rsidR="006F402C" w:rsidRPr="0011694A" w:rsidRDefault="006F402C" w:rsidP="00956122">
            <w:pPr>
              <w:spacing w:after="0" w:line="240" w:lineRule="auto"/>
              <w:rPr>
                <w:rFonts w:eastAsia="Cambria" w:cs="Cambria"/>
                <w:color w:val="000000"/>
              </w:rPr>
            </w:pPr>
            <w:r w:rsidRPr="0011694A">
              <w:rPr>
                <w:rFonts w:eastAsia="Cambria" w:cs="Cambria"/>
                <w:color w:val="000000"/>
              </w:rPr>
              <w:t>organizovanie diskusií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06F9" w14:textId="38521F24" w:rsidR="006F402C" w:rsidRPr="0011694A" w:rsidRDefault="00424CCE" w:rsidP="00956122">
            <w:pPr>
              <w:spacing w:after="0" w:line="240" w:lineRule="auto"/>
              <w:jc w:val="center"/>
              <w:rPr>
                <w:rFonts w:eastAsia="Cambria" w:cs="Cambria"/>
                <w:color w:val="000000"/>
              </w:rPr>
            </w:pPr>
            <w:r>
              <w:rPr>
                <w:rFonts w:eastAsia="Cambria" w:cs="Cambria"/>
                <w:color w:val="000000"/>
              </w:rPr>
              <w:t>1</w:t>
            </w:r>
          </w:p>
        </w:tc>
        <w:tc>
          <w:tcPr>
            <w:tcW w:w="2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383A" w14:textId="198DAD4D" w:rsidR="006F402C" w:rsidRPr="0011694A" w:rsidRDefault="000E6DB2" w:rsidP="00956122">
            <w:pPr>
              <w:spacing w:after="0" w:line="240" w:lineRule="auto"/>
              <w:jc w:val="center"/>
              <w:rPr>
                <w:rFonts w:eastAsia="Cambria" w:cs="Cambria"/>
                <w:color w:val="000000"/>
              </w:rPr>
            </w:pPr>
            <w:r>
              <w:rPr>
                <w:rFonts w:eastAsia="Cambria" w:cs="Cambria"/>
                <w:color w:val="000000"/>
              </w:rPr>
              <w:t>9</w:t>
            </w:r>
          </w:p>
        </w:tc>
      </w:tr>
      <w:tr w:rsidR="006F402C" w:rsidRPr="0011694A" w14:paraId="69B7114C" w14:textId="77777777" w:rsidTr="00956122">
        <w:trPr>
          <w:trHeight w:val="30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3F358" w14:textId="77777777" w:rsidR="006F402C" w:rsidRPr="0011694A" w:rsidRDefault="006F402C" w:rsidP="00956122">
            <w:pPr>
              <w:spacing w:after="0" w:line="240" w:lineRule="auto"/>
              <w:rPr>
                <w:rFonts w:eastAsia="Cambria" w:cs="Cambria"/>
                <w:color w:val="000000"/>
              </w:rPr>
            </w:pPr>
            <w:r w:rsidRPr="0011694A">
              <w:rPr>
                <w:rFonts w:eastAsia="Cambria" w:cs="Cambria"/>
                <w:color w:val="000000"/>
              </w:rPr>
              <w:t>Kumulovaný počet účastníkov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B3E60" w14:textId="77777777" w:rsidR="006F402C" w:rsidRPr="0011694A" w:rsidRDefault="006F402C" w:rsidP="00956122">
            <w:pPr>
              <w:spacing w:after="0" w:line="240" w:lineRule="auto"/>
              <w:jc w:val="center"/>
              <w:rPr>
                <w:rFonts w:eastAsia="Cambria" w:cs="Cambria"/>
                <w:color w:val="000000"/>
              </w:rPr>
            </w:pPr>
            <w:r w:rsidRPr="0011694A">
              <w:rPr>
                <w:rFonts w:eastAsia="Cambria" w:cs="Cambria"/>
                <w:color w:val="000000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C6B0" w14:textId="545999F6" w:rsidR="006F402C" w:rsidRPr="0011694A" w:rsidRDefault="000E6DB2" w:rsidP="00956122">
            <w:pPr>
              <w:spacing w:after="0" w:line="240" w:lineRule="auto"/>
              <w:jc w:val="center"/>
              <w:rPr>
                <w:rFonts w:eastAsia="Cambria" w:cs="Cambria"/>
                <w:color w:val="000000"/>
              </w:rPr>
            </w:pPr>
            <w:r>
              <w:rPr>
                <w:rFonts w:eastAsia="Cambria" w:cs="Cambria"/>
                <w:color w:val="000000"/>
              </w:rPr>
              <w:t>784</w:t>
            </w:r>
          </w:p>
        </w:tc>
      </w:tr>
    </w:tbl>
    <w:p w14:paraId="2F1F75C4" w14:textId="77777777" w:rsidR="006F402C" w:rsidRPr="0011694A" w:rsidRDefault="006F402C" w:rsidP="00B87CDC">
      <w:pPr>
        <w:rPr>
          <w:sz w:val="24"/>
        </w:rPr>
      </w:pPr>
    </w:p>
    <w:p w14:paraId="64F59BEB" w14:textId="77777777" w:rsidR="006F402C" w:rsidRPr="0011694A" w:rsidRDefault="006F402C" w:rsidP="00B87CDC">
      <w:pPr>
        <w:rPr>
          <w:b/>
          <w:sz w:val="24"/>
        </w:rPr>
      </w:pPr>
      <w:r w:rsidRPr="0011694A">
        <w:rPr>
          <w:b/>
          <w:sz w:val="24"/>
        </w:rPr>
        <w:t>Dosah na školy</w:t>
      </w:r>
    </w:p>
    <w:p w14:paraId="509016E0" w14:textId="77777777" w:rsidR="006A1505" w:rsidRPr="006A1505" w:rsidRDefault="006A1505" w:rsidP="006A1505">
      <w:pPr>
        <w:jc w:val="both"/>
        <w:rPr>
          <w:i/>
        </w:rPr>
      </w:pPr>
      <w:r w:rsidRPr="006A1505">
        <w:rPr>
          <w:i/>
        </w:rPr>
        <w:t xml:space="preserve">V rámci aktivít realizovaných Regionálnym centrom podpory učiteľov (RCPU) v okrese Bardejov boli oslovené rôzne typy základných škôl, aby sa zapojili do </w:t>
      </w:r>
      <w:proofErr w:type="spellStart"/>
      <w:r w:rsidRPr="006A1505">
        <w:rPr>
          <w:i/>
        </w:rPr>
        <w:t>mentorskych</w:t>
      </w:r>
      <w:proofErr w:type="spellEnd"/>
      <w:r w:rsidRPr="006A1505">
        <w:rPr>
          <w:i/>
        </w:rPr>
        <w:t xml:space="preserve">, vzdelávacích a poradenských programov. Z priloženej tabuľky vyplýva, že zahŕňa školy so štátnym, cirkevným alebo súkromným zriaďovateľom, pričom je pri každej škole uvedené aj jej charakterové zaradenie (napríklad </w:t>
      </w:r>
      <w:proofErr w:type="spellStart"/>
      <w:r w:rsidRPr="006A1505">
        <w:rPr>
          <w:i/>
        </w:rPr>
        <w:t>plnoorganizovaná</w:t>
      </w:r>
      <w:proofErr w:type="spellEnd"/>
      <w:r w:rsidRPr="006A1505">
        <w:rPr>
          <w:i/>
        </w:rPr>
        <w:t xml:space="preserve"> mestská, </w:t>
      </w:r>
      <w:proofErr w:type="spellStart"/>
      <w:r w:rsidRPr="006A1505">
        <w:rPr>
          <w:i/>
        </w:rPr>
        <w:t>plnoorganizovaná</w:t>
      </w:r>
      <w:proofErr w:type="spellEnd"/>
      <w:r w:rsidRPr="006A1505">
        <w:rPr>
          <w:i/>
        </w:rPr>
        <w:t xml:space="preserve"> obecná či </w:t>
      </w:r>
      <w:proofErr w:type="spellStart"/>
      <w:r w:rsidRPr="006A1505">
        <w:rPr>
          <w:i/>
        </w:rPr>
        <w:t>neplnoorganizovaná</w:t>
      </w:r>
      <w:proofErr w:type="spellEnd"/>
      <w:r w:rsidRPr="006A1505">
        <w:rPr>
          <w:i/>
        </w:rPr>
        <w:t xml:space="preserve"> obecná škola). Tento aspekt je dôležitý z hľadiska kapacít školy, počtu žiakov a dostupnosti personálnych či priestorových zdrojov.</w:t>
      </w:r>
    </w:p>
    <w:p w14:paraId="42CA7F2B" w14:textId="77777777" w:rsidR="006A1505" w:rsidRPr="006A1505" w:rsidRDefault="006A1505" w:rsidP="006A1505">
      <w:pPr>
        <w:jc w:val="both"/>
        <w:rPr>
          <w:i/>
        </w:rPr>
      </w:pPr>
      <w:r w:rsidRPr="006A1505">
        <w:rPr>
          <w:i/>
        </w:rPr>
        <w:t>Zo zhromaždených údajov vidno, že väčšina škôl je </w:t>
      </w:r>
      <w:r w:rsidRPr="006A1505">
        <w:rPr>
          <w:b/>
          <w:bCs/>
          <w:i/>
        </w:rPr>
        <w:t>štátna</w:t>
      </w:r>
      <w:r w:rsidRPr="006A1505">
        <w:rPr>
          <w:i/>
        </w:rPr>
        <w:t> a </w:t>
      </w:r>
      <w:proofErr w:type="spellStart"/>
      <w:r w:rsidRPr="006A1505">
        <w:rPr>
          <w:b/>
          <w:bCs/>
          <w:i/>
        </w:rPr>
        <w:t>plnoorganizovaná</w:t>
      </w:r>
      <w:proofErr w:type="spellEnd"/>
      <w:r w:rsidRPr="006A1505">
        <w:rPr>
          <w:i/>
        </w:rPr>
        <w:t>, pričom na úrovni regiónu existuje aj niekoľko </w:t>
      </w:r>
      <w:r w:rsidRPr="006A1505">
        <w:rPr>
          <w:b/>
          <w:bCs/>
          <w:i/>
        </w:rPr>
        <w:t>cirkevných</w:t>
      </w:r>
      <w:r w:rsidRPr="006A1505">
        <w:rPr>
          <w:i/>
        </w:rPr>
        <w:t> škôl, ktoré sa taktiež zapojili do rôznych foriem podpory. V menšej miere sa vyskytujú školy súkromné, čo však nemá negatívny vplyv na možnosť spolupráce s RCPU. Pri charakteristike mestskej alebo obecnej školy zase môžeme predpokladať rozdielne podmienky na zabezpečovanie aktivít a rôzne potreby vyplývajúce z odlišnej sociálnej štruktúry žiakov.</w:t>
      </w:r>
    </w:p>
    <w:p w14:paraId="6D7D6EC2" w14:textId="77777777" w:rsidR="006A1505" w:rsidRPr="006A1505" w:rsidRDefault="006A1505" w:rsidP="006A1505">
      <w:pPr>
        <w:jc w:val="both"/>
        <w:rPr>
          <w:i/>
        </w:rPr>
      </w:pPr>
      <w:r w:rsidRPr="006A1505">
        <w:rPr>
          <w:i/>
        </w:rPr>
        <w:t>V tabuľke sú tiež zaznamenané </w:t>
      </w:r>
      <w:r w:rsidRPr="006A1505">
        <w:rPr>
          <w:b/>
          <w:bCs/>
          <w:i/>
        </w:rPr>
        <w:t>počty mentorovaných učiteľov</w:t>
      </w:r>
      <w:r w:rsidRPr="006A1505">
        <w:rPr>
          <w:i/>
        </w:rPr>
        <w:t xml:space="preserve">, čo poukazuje na úroveň priamej podpory zo strany RCPU. Niektoré školy mali len jedného učiteľa zapojeného do </w:t>
      </w:r>
      <w:proofErr w:type="spellStart"/>
      <w:r w:rsidRPr="006A1505">
        <w:rPr>
          <w:i/>
        </w:rPr>
        <w:t>mentoringu</w:t>
      </w:r>
      <w:proofErr w:type="spellEnd"/>
      <w:r w:rsidRPr="006A1505">
        <w:rPr>
          <w:i/>
        </w:rPr>
        <w:t>, iné až niekoľko. Okrem mentorovania boli sledované aj rôzne druhy vzdelávacích či podporných formátov, napríklad </w:t>
      </w:r>
      <w:r w:rsidRPr="006A1505">
        <w:rPr>
          <w:b/>
          <w:bCs/>
          <w:i/>
        </w:rPr>
        <w:t>celodenné workshopy</w:t>
      </w:r>
      <w:r w:rsidRPr="006A1505">
        <w:rPr>
          <w:i/>
        </w:rPr>
        <w:t> alebo </w:t>
      </w:r>
      <w:r w:rsidRPr="006A1505">
        <w:rPr>
          <w:b/>
          <w:bCs/>
          <w:i/>
        </w:rPr>
        <w:t>poldenné workshopy</w:t>
      </w:r>
      <w:r w:rsidRPr="006A1505">
        <w:rPr>
          <w:i/>
        </w:rPr>
        <w:t>, ktorých sa zúčastňovali pedagogickí a odborní zamestnanci s cieľom rozvíjať svoje kompetencie v oblasti vyučovacích metód, digitálnych zručností, manažovania zmeny a iných kľúčových tém.</w:t>
      </w:r>
    </w:p>
    <w:p w14:paraId="000EF607" w14:textId="77777777" w:rsidR="006A1505" w:rsidRPr="006A1505" w:rsidRDefault="006A1505" w:rsidP="006A1505">
      <w:pPr>
        <w:jc w:val="both"/>
        <w:rPr>
          <w:i/>
        </w:rPr>
      </w:pPr>
      <w:r w:rsidRPr="006A1505">
        <w:rPr>
          <w:i/>
        </w:rPr>
        <w:t>Ďalšou formou podpory boli </w:t>
      </w:r>
      <w:r w:rsidRPr="006A1505">
        <w:rPr>
          <w:b/>
          <w:bCs/>
          <w:i/>
        </w:rPr>
        <w:t>prednášky</w:t>
      </w:r>
      <w:r w:rsidRPr="006A1505">
        <w:rPr>
          <w:i/>
        </w:rPr>
        <w:t>, zamerané spravidla na predstavenie nových metodík či legislatívnych zmien v školstve. Dôležitou súčasťou aktivít RCPU sú aj </w:t>
      </w:r>
      <w:proofErr w:type="spellStart"/>
      <w:r w:rsidRPr="006A1505">
        <w:rPr>
          <w:b/>
          <w:bCs/>
          <w:i/>
        </w:rPr>
        <w:t>facilitácie</w:t>
      </w:r>
      <w:proofErr w:type="spellEnd"/>
      <w:r w:rsidRPr="006A1505">
        <w:rPr>
          <w:i/>
        </w:rPr>
        <w:t>, ktoré sa sústreďujú na priamu prácu so školskými tímami, prípadne s vedením školy, aby sa uľahčilo zavádzanie nových prístupov alebo riešenie špecifických výziev (napr. zmena školského vzdelávacieho programu, práca s nadanými či integrovanými žiakmi, zlepšovanie klímy na škole).</w:t>
      </w:r>
    </w:p>
    <w:p w14:paraId="59010D15" w14:textId="77777777" w:rsidR="006A1505" w:rsidRPr="006A1505" w:rsidRDefault="006A1505" w:rsidP="006A1505">
      <w:pPr>
        <w:jc w:val="both"/>
        <w:rPr>
          <w:i/>
        </w:rPr>
      </w:pPr>
      <w:r w:rsidRPr="006A1505">
        <w:rPr>
          <w:i/>
        </w:rPr>
        <w:t>Zaujímavým formátom podpory boli aj </w:t>
      </w:r>
      <w:r w:rsidRPr="006A1505">
        <w:rPr>
          <w:b/>
          <w:bCs/>
          <w:i/>
        </w:rPr>
        <w:t>ukážky s aktívnou účasťou skupín</w:t>
      </w:r>
      <w:r w:rsidRPr="006A1505">
        <w:rPr>
          <w:i/>
        </w:rPr>
        <w:t> (v tabuľke označené ako „ukážkach sa skupín“), čo pravdepodobne znamená praktické prezentácie inovatívnych vyučovacích metód či nástrojov priamo v reálnych triedach, kde môžu pedagógovia pozorovať, ako vyzerá takáto inovácia v praxi. Takto získané poznatky môžu ďalej prenášať do vlastnej výučby. Nemenej významné sú </w:t>
      </w:r>
      <w:r w:rsidRPr="006A1505">
        <w:rPr>
          <w:b/>
          <w:bCs/>
          <w:i/>
        </w:rPr>
        <w:t>diskusie</w:t>
      </w:r>
      <w:r w:rsidRPr="006A1505">
        <w:rPr>
          <w:i/>
        </w:rPr>
        <w:t> (na obrázku posledný stĺpec), ktoré naznačujú, že okrem frontálnych a praktických foriem sa využíva aj spoločné hovorenie a reflexia medzi zúčastnenými stranami, čo prispieva k väčšej výmene skúseností.</w:t>
      </w:r>
    </w:p>
    <w:p w14:paraId="185FD4B8" w14:textId="77777777" w:rsidR="006A1505" w:rsidRPr="006A1505" w:rsidRDefault="006A1505" w:rsidP="006A1505">
      <w:pPr>
        <w:jc w:val="both"/>
        <w:rPr>
          <w:i/>
        </w:rPr>
      </w:pPr>
      <w:r w:rsidRPr="006A1505">
        <w:rPr>
          <w:i/>
        </w:rPr>
        <w:t xml:space="preserve">Z hľadiska výsledkov je zrejmé, že RCPU zasiahlo do širokého spektra škôl a využilo rôzne metódy podpory, od jednoduchších jednorazových prednášok až po dlhodobejšie </w:t>
      </w:r>
      <w:proofErr w:type="spellStart"/>
      <w:r w:rsidRPr="006A1505">
        <w:rPr>
          <w:i/>
        </w:rPr>
        <w:t>mentoringové</w:t>
      </w:r>
      <w:proofErr w:type="spellEnd"/>
      <w:r w:rsidRPr="006A1505">
        <w:rPr>
          <w:i/>
        </w:rPr>
        <w:t xml:space="preserve"> a </w:t>
      </w:r>
      <w:proofErr w:type="spellStart"/>
      <w:r w:rsidRPr="006A1505">
        <w:rPr>
          <w:i/>
        </w:rPr>
        <w:t>facilitačné</w:t>
      </w:r>
      <w:proofErr w:type="spellEnd"/>
      <w:r w:rsidRPr="006A1505">
        <w:rPr>
          <w:i/>
        </w:rPr>
        <w:t xml:space="preserve"> procesy. Práve táto pestrosť aktivít je kľúčová, aby sa zohľadnili špecifiká každej školy – či už veľkosť, typ zriaďovateľa alebo organizačná štruktúra. Celková sumarizácia na konci tabuľky (napr. 32 </w:t>
      </w:r>
      <w:r w:rsidRPr="006A1505">
        <w:rPr>
          <w:i/>
        </w:rPr>
        <w:lastRenderedPageBreak/>
        <w:t xml:space="preserve">mentorovaných učiteľov, 5 celodenných workshopov, 26 poldenných, 9 prednášok, 8 </w:t>
      </w:r>
      <w:proofErr w:type="spellStart"/>
      <w:r w:rsidRPr="006A1505">
        <w:rPr>
          <w:i/>
        </w:rPr>
        <w:t>facilitácií</w:t>
      </w:r>
      <w:proofErr w:type="spellEnd"/>
      <w:r w:rsidRPr="006A1505">
        <w:rPr>
          <w:i/>
        </w:rPr>
        <w:t xml:space="preserve"> a 1 diskusia) dokazuje, že RCPU poskytlo výraznú pomoc pri rozvoji kvality výchovno-vzdelávacieho procesu v bardejovskom regióne.</w:t>
      </w:r>
    </w:p>
    <w:p w14:paraId="2F706226" w14:textId="77777777" w:rsidR="006A1505" w:rsidRPr="006A1505" w:rsidRDefault="006A1505" w:rsidP="006A1505">
      <w:pPr>
        <w:jc w:val="both"/>
        <w:rPr>
          <w:i/>
        </w:rPr>
      </w:pPr>
      <w:r w:rsidRPr="006A1505">
        <w:rPr>
          <w:i/>
        </w:rPr>
        <w:t>Vzhľadom na pozitívne skúsenosti a dôraz na regionálnu spoluprácu, možno očakávať pokračovanie a rozširovanie takýchto foriem podpory. Zvyšovanie kvality vzdelávania v okrese Bardejov však vyžaduje dlhodobé plánovanie, aktívnu spoluprácu so zriaďovateľmi a predovšetkým ochotu škôl zapájať sa do ponúkaných príležitostí. Vďaka RCPU sa vytvára ucelená sieť podpory, ktorá je schopná reflektovať na meniace sa potreby učiteľov, žiakov a vedenia škôl, čo v konečnom dôsledku prispieva k neustálemu zlepšovaniu vzdelávacieho systému v regióne.</w:t>
      </w:r>
    </w:p>
    <w:p w14:paraId="63A809EB" w14:textId="049B1C3B" w:rsidR="000E6DB2" w:rsidRPr="0011694A" w:rsidRDefault="006A1505" w:rsidP="00B87CDC">
      <w:pPr>
        <w:rPr>
          <w:i/>
        </w:rPr>
      </w:pPr>
      <w:r w:rsidRPr="006A1505">
        <w:rPr>
          <w:i/>
        </w:rPr>
        <w:drawing>
          <wp:inline distT="0" distB="0" distL="0" distR="0" wp14:anchorId="4D96BF00" wp14:editId="53F645AE">
            <wp:extent cx="5760720" cy="6889750"/>
            <wp:effectExtent l="0" t="0" r="5080" b="6350"/>
            <wp:docPr id="698277292" name="Obrázok 1" descr="Obrázok, na ktorom je text, snímka obrazovky, rovnobežný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277292" name="Obrázok 1" descr="Obrázok, na ktorom je text, snímka obrazovky, rovnobežný, rad&#10;&#10;Automaticky generovaný popi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8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D844D" w14:textId="77777777" w:rsidR="00456213" w:rsidRPr="0011694A" w:rsidRDefault="00456213" w:rsidP="00B87CDC">
      <w:pPr>
        <w:rPr>
          <w:b/>
          <w:sz w:val="24"/>
        </w:rPr>
      </w:pPr>
      <w:r w:rsidRPr="0011694A">
        <w:rPr>
          <w:b/>
          <w:sz w:val="24"/>
        </w:rPr>
        <w:lastRenderedPageBreak/>
        <w:t>Sieťovanie a partnerstvá</w:t>
      </w:r>
    </w:p>
    <w:p w14:paraId="575E34DF" w14:textId="77777777" w:rsidR="00456213" w:rsidRPr="0011694A" w:rsidRDefault="00456213" w:rsidP="00B87CDC">
      <w:pPr>
        <w:rPr>
          <w:i/>
        </w:rPr>
      </w:pPr>
    </w:p>
    <w:p w14:paraId="541F4519" w14:textId="77777777" w:rsidR="00456213" w:rsidRPr="0011694A" w:rsidRDefault="00456213" w:rsidP="00B87CDC">
      <w:pPr>
        <w:rPr>
          <w:b/>
          <w:sz w:val="24"/>
        </w:rPr>
      </w:pPr>
      <w:r w:rsidRPr="0011694A">
        <w:rPr>
          <w:b/>
          <w:sz w:val="24"/>
        </w:rPr>
        <w:t>Iné</w:t>
      </w:r>
    </w:p>
    <w:p w14:paraId="4EAAB41C" w14:textId="30582C57" w:rsidR="00456213" w:rsidRPr="0011694A" w:rsidRDefault="00456213" w:rsidP="00B87CDC">
      <w:pPr>
        <w:rPr>
          <w:i/>
        </w:rPr>
      </w:pPr>
    </w:p>
    <w:sectPr w:rsidR="00456213" w:rsidRPr="0011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81D53"/>
    <w:multiLevelType w:val="multilevel"/>
    <w:tmpl w:val="78D0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253A7"/>
    <w:multiLevelType w:val="multilevel"/>
    <w:tmpl w:val="FEC2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44D5A"/>
    <w:multiLevelType w:val="multilevel"/>
    <w:tmpl w:val="70922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A6F5F"/>
    <w:multiLevelType w:val="multilevel"/>
    <w:tmpl w:val="D9F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B12FD"/>
    <w:multiLevelType w:val="multilevel"/>
    <w:tmpl w:val="495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F4CBA"/>
    <w:multiLevelType w:val="multilevel"/>
    <w:tmpl w:val="97D0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C03D0"/>
    <w:multiLevelType w:val="hybridMultilevel"/>
    <w:tmpl w:val="C53AE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C4900"/>
    <w:multiLevelType w:val="multilevel"/>
    <w:tmpl w:val="7FC0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E94C43"/>
    <w:multiLevelType w:val="multilevel"/>
    <w:tmpl w:val="D7C8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3659913">
    <w:abstractNumId w:val="6"/>
  </w:num>
  <w:num w:numId="2" w16cid:durableId="197817172">
    <w:abstractNumId w:val="8"/>
  </w:num>
  <w:num w:numId="3" w16cid:durableId="269822916">
    <w:abstractNumId w:val="4"/>
  </w:num>
  <w:num w:numId="4" w16cid:durableId="2027321579">
    <w:abstractNumId w:val="7"/>
  </w:num>
  <w:num w:numId="5" w16cid:durableId="452017746">
    <w:abstractNumId w:val="1"/>
  </w:num>
  <w:num w:numId="6" w16cid:durableId="1584221353">
    <w:abstractNumId w:val="2"/>
  </w:num>
  <w:num w:numId="7" w16cid:durableId="1628779309">
    <w:abstractNumId w:val="5"/>
  </w:num>
  <w:num w:numId="8" w16cid:durableId="584924251">
    <w:abstractNumId w:val="0"/>
  </w:num>
  <w:num w:numId="9" w16cid:durableId="753016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DE"/>
    <w:rsid w:val="000E6DB2"/>
    <w:rsid w:val="0011694A"/>
    <w:rsid w:val="00177694"/>
    <w:rsid w:val="00205BF3"/>
    <w:rsid w:val="003D491B"/>
    <w:rsid w:val="00424CCE"/>
    <w:rsid w:val="00456213"/>
    <w:rsid w:val="00541429"/>
    <w:rsid w:val="00650EDE"/>
    <w:rsid w:val="006550DB"/>
    <w:rsid w:val="006A1505"/>
    <w:rsid w:val="006B76DF"/>
    <w:rsid w:val="006F402C"/>
    <w:rsid w:val="0072726C"/>
    <w:rsid w:val="00805B9C"/>
    <w:rsid w:val="00A674FE"/>
    <w:rsid w:val="00B87CDC"/>
    <w:rsid w:val="00D560CB"/>
    <w:rsid w:val="00D70ECD"/>
    <w:rsid w:val="00DA20D5"/>
    <w:rsid w:val="00F3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88CA"/>
  <w15:chartTrackingRefBased/>
  <w15:docId w15:val="{1E964BF6-BA49-4D4D-AA20-F19F72AA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87C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169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0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87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169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11694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694A"/>
    <w:rPr>
      <w:color w:val="605E5C"/>
      <w:shd w:val="clear" w:color="auto" w:fill="E1DFDD"/>
    </w:rPr>
  </w:style>
  <w:style w:type="paragraph" w:customStyle="1" w:styleId="msonormal0">
    <w:name w:val="msonormal"/>
    <w:basedOn w:val="Normlny"/>
    <w:rsid w:val="000E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0E6DB2"/>
  </w:style>
  <w:style w:type="paragraph" w:styleId="Odsekzoznamu">
    <w:name w:val="List Paragraph"/>
    <w:basedOn w:val="Normlny"/>
    <w:uiPriority w:val="34"/>
    <w:qFormat/>
    <w:rsid w:val="00F325F0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20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B76DF"/>
    <w:rPr>
      <w:color w:val="1155CC"/>
      <w:u w:val="single"/>
    </w:rPr>
  </w:style>
  <w:style w:type="paragraph" w:customStyle="1" w:styleId="xl63">
    <w:name w:val="xl63"/>
    <w:basedOn w:val="Normlny"/>
    <w:rsid w:val="006B7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eastAsia="sk-SK"/>
    </w:rPr>
  </w:style>
  <w:style w:type="paragraph" w:customStyle="1" w:styleId="xl64">
    <w:name w:val="xl64"/>
    <w:basedOn w:val="Normlny"/>
    <w:rsid w:val="006B7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sk-SK"/>
    </w:rPr>
  </w:style>
  <w:style w:type="paragraph" w:customStyle="1" w:styleId="xl65">
    <w:name w:val="xl65"/>
    <w:basedOn w:val="Normlny"/>
    <w:rsid w:val="006B7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sk-SK"/>
    </w:rPr>
  </w:style>
  <w:style w:type="paragraph" w:customStyle="1" w:styleId="xl66">
    <w:name w:val="xl66"/>
    <w:basedOn w:val="Normlny"/>
    <w:rsid w:val="006B76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xl67">
    <w:name w:val="xl67"/>
    <w:basedOn w:val="Normlny"/>
    <w:rsid w:val="006B76D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xl68">
    <w:name w:val="xl68"/>
    <w:basedOn w:val="Normlny"/>
    <w:rsid w:val="006B76D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xl69">
    <w:name w:val="xl69"/>
    <w:basedOn w:val="Normlny"/>
    <w:rsid w:val="006B76DF"/>
    <w:pPr>
      <w:pBdr>
        <w:bottom w:val="single" w:sz="4" w:space="0" w:color="000000"/>
        <w:right w:val="single" w:sz="4" w:space="0" w:color="000000"/>
      </w:pBdr>
      <w:shd w:val="clear" w:color="00FFFF" w:fill="00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xl70">
    <w:name w:val="xl70"/>
    <w:basedOn w:val="Normlny"/>
    <w:rsid w:val="006B76D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xl71">
    <w:name w:val="xl71"/>
    <w:basedOn w:val="Normlny"/>
    <w:rsid w:val="006B7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xl72">
    <w:name w:val="xl72"/>
    <w:basedOn w:val="Normlny"/>
    <w:rsid w:val="006B76DF"/>
    <w:pPr>
      <w:pBdr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xl73">
    <w:name w:val="xl73"/>
    <w:basedOn w:val="Normlny"/>
    <w:rsid w:val="006B7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BC04" w:fill="FBBC04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customStyle="1" w:styleId="xl74">
    <w:name w:val="xl74"/>
    <w:basedOn w:val="Normlny"/>
    <w:rsid w:val="006B76DF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xl75">
    <w:name w:val="xl75"/>
    <w:basedOn w:val="Normlny"/>
    <w:rsid w:val="006B76DF"/>
    <w:pPr>
      <w:pBdr>
        <w:bottom w:val="single" w:sz="4" w:space="0" w:color="000000"/>
        <w:right w:val="single" w:sz="4" w:space="0" w:color="000000"/>
      </w:pBdr>
      <w:shd w:val="clear" w:color="EAD1DC" w:fill="EAD1D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xl76">
    <w:name w:val="xl76"/>
    <w:basedOn w:val="Normlny"/>
    <w:rsid w:val="006B76DF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xl77">
    <w:name w:val="xl77"/>
    <w:basedOn w:val="Normlny"/>
    <w:rsid w:val="006B76DF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xl78">
    <w:name w:val="xl78"/>
    <w:basedOn w:val="Normlny"/>
    <w:rsid w:val="006B76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sk-SK"/>
    </w:rPr>
  </w:style>
  <w:style w:type="paragraph" w:customStyle="1" w:styleId="xl79">
    <w:name w:val="xl79"/>
    <w:basedOn w:val="Normlny"/>
    <w:rsid w:val="006B76D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sk-SK"/>
    </w:rPr>
  </w:style>
  <w:style w:type="paragraph" w:customStyle="1" w:styleId="xl80">
    <w:name w:val="xl80"/>
    <w:basedOn w:val="Normlny"/>
    <w:rsid w:val="006B76D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i/>
      <w:iCs/>
      <w:sz w:val="24"/>
      <w:szCs w:val="24"/>
      <w:lang w:eastAsia="sk-SK"/>
    </w:rPr>
  </w:style>
  <w:style w:type="paragraph" w:customStyle="1" w:styleId="xl81">
    <w:name w:val="xl81"/>
    <w:basedOn w:val="Normlny"/>
    <w:rsid w:val="006B7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i/>
      <w:iCs/>
      <w:sz w:val="24"/>
      <w:szCs w:val="24"/>
      <w:lang w:eastAsia="sk-SK"/>
    </w:rPr>
  </w:style>
  <w:style w:type="paragraph" w:customStyle="1" w:styleId="xl82">
    <w:name w:val="xl82"/>
    <w:basedOn w:val="Normlny"/>
    <w:rsid w:val="006B76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xl83">
    <w:name w:val="xl83"/>
    <w:basedOn w:val="Normlny"/>
    <w:rsid w:val="006B76D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6B76D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6B7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6B76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eastAsia="sk-SK"/>
    </w:rPr>
  </w:style>
  <w:style w:type="paragraph" w:customStyle="1" w:styleId="xl87">
    <w:name w:val="xl87"/>
    <w:basedOn w:val="Normlny"/>
    <w:rsid w:val="006B76D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xl88">
    <w:name w:val="xl88"/>
    <w:basedOn w:val="Normlny"/>
    <w:rsid w:val="006B76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xl89">
    <w:name w:val="xl89"/>
    <w:basedOn w:val="Normlny"/>
    <w:rsid w:val="006B76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sk-SK"/>
    </w:rPr>
  </w:style>
  <w:style w:type="paragraph" w:customStyle="1" w:styleId="xl90">
    <w:name w:val="xl90"/>
    <w:basedOn w:val="Normlny"/>
    <w:rsid w:val="006B76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xl91">
    <w:name w:val="xl91"/>
    <w:basedOn w:val="Normlny"/>
    <w:rsid w:val="006B76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sk-SK"/>
    </w:rPr>
  </w:style>
  <w:style w:type="paragraph" w:customStyle="1" w:styleId="xl92">
    <w:name w:val="xl92"/>
    <w:basedOn w:val="Normlny"/>
    <w:rsid w:val="006B76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eastAsia="sk-SK"/>
    </w:rPr>
  </w:style>
  <w:style w:type="paragraph" w:customStyle="1" w:styleId="xl93">
    <w:name w:val="xl93"/>
    <w:basedOn w:val="Normlny"/>
    <w:rsid w:val="006B76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eastAsia="sk-SK"/>
    </w:rPr>
  </w:style>
  <w:style w:type="paragraph" w:customStyle="1" w:styleId="xl94">
    <w:name w:val="xl94"/>
    <w:basedOn w:val="Normlny"/>
    <w:rsid w:val="006B76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eastAsia="sk-SK"/>
    </w:rPr>
  </w:style>
  <w:style w:type="paragraph" w:customStyle="1" w:styleId="xl95">
    <w:name w:val="xl95"/>
    <w:basedOn w:val="Normlny"/>
    <w:rsid w:val="006B76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Péter</dc:creator>
  <cp:keywords/>
  <dc:description/>
  <cp:lastModifiedBy>Tej Peter</cp:lastModifiedBy>
  <cp:revision>5</cp:revision>
  <dcterms:created xsi:type="dcterms:W3CDTF">2024-12-13T14:21:00Z</dcterms:created>
  <dcterms:modified xsi:type="dcterms:W3CDTF">2025-01-15T08:00:00Z</dcterms:modified>
</cp:coreProperties>
</file>